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ACPR/550/2020 vom 13. Juli 2020</w:t>
      </w:r>
    </w:p>
    <w:p>
      <w:r>
        <w:t>GE Cour de justice, 2020-07-13, FR</w:t>
      </w:r>
    </w:p>
    <w:p>
      <w:r>
        <w:rPr>
          <w:b/>
        </w:rPr>
        <w:t xml:space="preserve">Quelle: </w:t>
      </w:r>
      <w:r>
        <w:t>https://mcp.opencaselaw.ch/entscheid/ge_gerichte_ACPR_550_2020</w:t>
      </w:r>
    </w:p>
    <w:p>
      <w:r>
        <w:t>FR: GE_GERICHTE ACPR/550/2020 du 13 juillet 2020</w:t>
      </w:r>
    </w:p>
    <w:p>
      <w:r>
        <w:t>IT: GE_GERICHTE ACPR/550/2020 del 13 luglio 2020</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w:t>
      </w:r>
    </w:p>
    <w:p>
      <w:r>
        <w:rPr>
          <w:b/>
        </w:rPr>
        <w:t>E. 1.3</w:t>
      </w:r>
    </w:p>
    <w:p>
      <w:r>
        <w:t>En l'espèce, le recours est recevable pour être dirigé contre une décision rendue par le SAPEM (art. 40 al. 1 et 5 al. 2 let. e LaCP ; art. 11 al. 1 let. e Règlement sur l'exécution des peines et mesures du 19 mars 2014 [REPM ; RS E 4 55.05]), avoir été déposé dans la forme et le délai prescrits (art. 385 al. 1 et 396 al 1 CPP) et émaner du condamné visé par la décision querellée et qui a un intérêt juridiquement protégé à l'annulation de la décision entreprise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- 6/9 - PS/56/2020</w:t>
      </w:r>
    </w:p>
    <w:p>
      <w:r>
        <w:rPr>
          <w:b/>
        </w:rPr>
        <w:t>E. 3.1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 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w:t>
      </w:r>
    </w:p>
    <w:p>
      <w:r>
        <w:rPr>
          <w:b/>
        </w:rPr>
        <w:t>E. 3.2</w:t>
      </w:r>
    </w:p>
    <w:p>
      <w:r>
        <w:t>En l'espèce, il ressort du dossier que le recourant présente de graves troubles psychiatriques et vit dans le déni de son état psychiatrique. L'ensemble des intervenants (expert psychiatre, établissement de détention, SMI et Ministère public) s'accorde sur la nécessité qu'il soit placé dans un établissement fermé, avec prise en charge intensive, pour atteindre les objectifs thérapeutiques d'amélioration symptomatique et d'acceptation du trouble et des soins.</w:t>
      </w:r>
    </w:p>
    <w:p>
      <w:r>
        <w:t>Dans son recours, le recourant ne s'exprime pas sur les risques de récidive et de fuite retenus, sauf à préciser qu'il veut partir en France et qu'il va prendre son traitement pour ne plus récidiver.</w:t>
      </w:r>
    </w:p>
    <w:p>
      <w:r>
        <w:t>Les risques de récidive et fuite étant avérés, au vu du dossier, de ses antécédents et sa fugue durant la précédente mesure, tout comme la dangerosité du recourant en l'état, c'est donc à bon droit que le SAPEM a ordonné son placement en milieu fermé. Le recours sera dès lors rejeté.</w:t>
      </w:r>
    </w:p>
    <w:p>
      <w:r>
        <w:rPr>
          <w:b/>
        </w:rPr>
        <w:t>E. 4</w:t>
      </w:r>
    </w:p>
    <w:p>
      <w:r>
        <w:t>Justifiée, la décision querellée sera donc confirmée.</w:t>
      </w:r>
    </w:p>
    <w:p>
      <w:r>
        <w:t>- 7/9 - PS/56/2020</w:t>
      </w:r>
    </w:p>
    <w:p>
      <w:r>
        <w:rPr>
          <w:b/>
        </w:rPr>
        <w:t>E. 5</w:t>
      </w:r>
    </w:p>
    <w:p>
      <w:r>
        <w:t>Le recourant, qui succombe, supportera les frais envers l'État, qui comprendront un émolument de CHF 600.- (art. 428 al. 1 CPP et 13 al. 1 du Règlement fixant le tarif des frais en matière pénale, RTFMP ; E 4 10.03), la procédure de demande d'assistance juridique étant gratuite (art. 20 RAJ). * * * * *</w:t>
      </w:r>
    </w:p>
    <w:p>
      <w:r>
        <w:t>- 8/9 - PS/56/2020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