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ACPR/54/2025 vom 21. Oktober 2024</w:t>
      </w:r>
    </w:p>
    <w:p>
      <w:r>
        <w:t>GE Cour de justice, 2024-10-21, FR</w:t>
      </w:r>
    </w:p>
    <w:p>
      <w:r>
        <w:rPr>
          <w:b/>
        </w:rPr>
        <w:t xml:space="preserve">Quelle: </w:t>
      </w:r>
      <w:r>
        <w:t>https://mcp.opencaselaw.ch/entscheid/ge_gerichte_ACPR_54_2025</w:t>
      </w:r>
    </w:p>
    <w:p>
      <w:r>
        <w:t>FR: GE_GERICHTE ACPR/54/2025 du 21 octobre 2024</w:t>
      </w:r>
    </w:p>
    <w:p>
      <w:r>
        <w:t>IT: GE_GERICHTE ACPR/54/2025 del 21 ottobre 2024</w:t>
      </w:r>
    </w:p>
    <w:p>
      <w:pPr>
        <w:pStyle w:val="Heading2"/>
      </w:pPr>
      <w:r>
        <w:t>Erwägungen</w:t>
      </w:r>
    </w:p>
    <w:p>
      <w:r>
        <w:rPr>
          <w:b/>
        </w:rPr>
        <w:t>E. 1</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2.1</w:t>
      </w:r>
    </w:p>
    <w:p>
      <w:r>
        <w:t>Le recours a été interjeté selon la forme et dans le délai prescrits (art. 385 al. 1 et 396 al. 1 CPP), et concerne une ordonnance sujette à recours auprès de la Chambre de céans (art. 393 al. 1 let. a CPP).</w:t>
      </w:r>
    </w:p>
    <w:p>
      <w:r>
        <w:t>- 5/10 - P/20388/2024 2.2.1. Toute partie qui a un intérêt juridiquement protégé à l'annulation ou à la modification d'une décision a qualité pour recourir contre celle-ci (art. 382 al. 1 CPP). 2.2.2. L'abus de confiance (art. 138 CP) et l'utilisation frauduleuse d'un ordinateur (art. 147 CP) protègent le patrimoine (A. MACALUSO / L. MOREILLON / N. QUELOZ (éds), Commentaire romand, Code pénal II, vol. II, Partie spéciale : art. 111-392 CP, Bâle 2017, n. 3 ad art. 138 et 147). La banque est propriétaire des valeurs patrimoniales qui lui sont confiées et le client n'a contre elle qu'une créance. C'est donc la banque qui est, en principe, directement lésée par les infractions commises au préjudice d'un compte bancaire. Le Tribunal fédéral retient que c'est la banque qui est lésée dans une telle constellation, puisqu'elle est contractuellement tenue de restituer les fonds qui lui ont été confiés. De son côté, le titulaire du compte n'est pas nécessairement lésé par une infraction touchant son compte bancaire, car il dispose comme client d'une créance correspondant aux montants déposés et ne subit dès lors pas de diminution de son patrimoine. Le client n'a dès lors pas la qualité de lésé lorsque les agissements pénaux sont sans influence sur ses prétentions envers la banque. En revanche, lorsque les prétentions sont à tout le moins contestées ou qu'il n'est pas certain que le client puisse être indemnisé, le Tribunal fédéral admet que le client puisse être considéré comme lésé aux côtés de la banque (arrêt du Tribunal fédéral 1B_190/2016 du 1er septembre 2016 consid. 2.2 et 2.3; ACPR/831/2021 du 29 novembre 2021 consid. 4.1; A. KUHN / Y. JEANNERET / C. PERRIER DEPEURSINGE [éds], Commentaire romand : Code de procédure pénale suisse, 2è éd., 2019, n. 24 et 25 ad art. 382). 2.2.3. Le blanchiment d'argent protège, outre l'administration de la justice, les intérêts patrimoniaux de ceux qui sont lésés par le crime préalable, dans les cas où les valeurs patrimoniales proviennent d'actes délictueux contre des intérêts individuels (ATF 129 IV 322 consid. 2).</w:t>
      </w:r>
    </w:p>
    <w:p>
      <w:r>
        <w:rPr>
          <w:b/>
        </w:rPr>
        <w:t>E. 2.3</w:t>
      </w:r>
    </w:p>
    <w:p>
      <w:r>
        <w:t>En l'occurrence, le recourant se plaint de la liquidation indue de ses positions par la banque au profit de celle-ci en raison de l'utilisation d'une donnée erronée dans le système informatique. Dans la mesure où la mise en cause conteste toute erreur de sa part, les prétentions patrimoniales du recourant apparaissent contestées. Partant, le recourant possède la qualité de lésé pour les infractions aux art. 138 et 147 CP et par conséquence celle de l'art. 305bis CP. Le recours est donc recevable.</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t>- 6/10 - P/20388/2024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arrêts du Tribunal fédéral 6B_488/2021 et 6B_496/2021 du 22 décembre 2021 consid. 5.3 ; 6B_212/2020 du 21 avril 2021 consid. 2.2 ; 6B_196/2020 du 14 octobre 2020 consid. 3.1). Dans le doute, lorsque les conditions d'une non-entrée en matière ne sont pas réalisées avec une certitude absolue, l'instruction doit être ouverte (ATF 143 IV 241 consid. 2.2.1 ; 138 IV 86 consid. 4.1 ; arrêts du Tribunal fédéral 6B_488/2021, 6B_496/2021 précité consid. 5.3 ; 6B_212/2020 précité consid. 2.2 ; 6B_196/2020 précité consid. 3.1). Le ministère public doit ainsi être certain que les faits ne sont pas punissables, ce qui est notamment le cas lorsque le litige est d'ordre purement civil (ATF 137 IV 285 consid. 2.3; arrêts du Tribunal fédéral 6B_844/2020 du 24 mars 2021 consid. 2.6 ; 6B_1076/2014 du 7 octobre 2015 consid. 2.6 ; 1B_111/2012 du 5 avril 2012 consid. 3.1). Dans le domaine patrimonial, le principe de la subsidiarité du droit pénal est admis en ce sens qu'il incombe au droit civil, prioritairement, d'aménager les rapports contractuels et extra-contractuels entre les individus (ATF 141 IV 71 consid. 7; arrêt du Tribunal fédéral 6B_1116/2021 du 22 juin 2022 consid. 3.1).</w:t>
      </w:r>
    </w:p>
    <w:p>
      <w:r>
        <w:rPr>
          <w:b/>
        </w:rPr>
        <w:t>E. 3.2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w:t>
      </w:r>
    </w:p>
    <w:p>
      <w:r>
        <w:t>- 7/10 - P/20388/2024 d’un tiers, notamment de la conserver, de la gérer ou de la remettre (ATF 133 IV 21 consid. 6.2; arrêts du Tribunal fédéral 6B_613/2016 et 6B_627/2016 du 1er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(A. MACALUSO / L. MOREILLON / N. QUELOZ (éds), Commentaire romand, Code pénal II, vol. II, Partie spéciale : art. 111-392 CP, Bâle 2017, n. 43 ad art. 138 CP).</w:t>
      </w:r>
    </w:p>
    <w:p>
      <w:r>
        <w:rPr>
          <w:b/>
        </w:rPr>
        <w:t>E. 3.3</w:t>
      </w:r>
    </w:p>
    <w:p>
      <w:r>
        <w:t>L'art. 147 al. 1 CP punit quiconque, dans le dessein de se procurer ou de procurer à un tiers un enrichissement illégitime, influe, sur un processus électronique ou similaire de traitement ou de transmission de données, en utilisant des données de manière incorrecte, incomplète ou indue ou en recourant à un procédé analogue, et provoque, par le biais du résultat inexact ainsi obtenu, un transfert d'actifs au préjudice d'autrui ou le dissimule aussitôt après.</w:t>
      </w:r>
    </w:p>
    <w:p>
      <w:r>
        <w:rPr>
          <w:b/>
        </w:rPr>
        <w:t>E. 3.4</w:t>
      </w:r>
    </w:p>
    <w:p>
      <w:r>
        <w:t>L'art. 305bis ch. 1 CP réprime, du chef de blanchiment d'argent, quiconque commet un acte propre à entraver l'identification de l'origine, la découverte ou la confiscation de valeurs patrimoniales dont il sait ou doit présumer qu'elles proviennent d'un crime.</w:t>
      </w:r>
    </w:p>
    <w:p>
      <w:r>
        <w:rPr>
          <w:b/>
        </w:rPr>
        <w:t>E. 3.5</w:t>
      </w:r>
    </w:p>
    <w:p>
      <w:r>
        <w:t>En l'espèce, le recourant a conclu un "Contract for Differences" avec la banque dans le but d'investir en spéculant sur le prix de l'or. À cet effet, il a, le 3 mai 2023, laissé ouvertes 13 positions. Le lendemain, la mise en cause les a liquidées. En agissant de cette manière au motif qu'en application du taux choisi, les positions précitées n'étaient plus couvertes, ce que le recourant ne conteste pas, on ne peut considérer que la mise en cause ait utilisé les valeurs patrimoniales confiées de manière contraire à l'affectation convenue. En effet, à la lecture des dispositions contractuelles liant les parties, la banque a recouru à l'une des possibilités expressément prévues en cas d'absence de couverture des positions ouvertes du client, ici le recourant. En l'absence d'utilisation des valeurs patrimoniales contraire aux instructions reçues, l'abus de confiance, il n'existe pas de soupçon d'une infraction d'abus de confiance.</w:t>
      </w:r>
    </w:p>
    <w:p>
      <w:r>
        <w:rPr>
          <w:b/>
        </w:rPr>
        <w:t>E. 3.6</w:t>
      </w:r>
    </w:p>
    <w:p>
      <w:r>
        <w:t>Pour ce qui est d'une infraction à l'art. 147 CP, le recourant reproche à la mise en cause, ou un de ses employés, d'avoir entré un taux du cours de l'or erroné dans le système informatique de la banque, qui lui était défavorable, et qui avait entraîné la</w:t>
      </w:r>
    </w:p>
    <w:p>
      <w:r>
        <w:t>- 8/10 - P/20388/2024 liquidation de ses positions, créant une "prétendue" dette d'EUR 14'508.38 envers l'établissement bancaire. D'abord, une différence de taux ne signifie pas nécessairement une manipulation erronée de la part de la banque. Ensuite, il apparait que la contestation du taux appliqué par la mise en cause relève du droit des contrats, voire d'une éventuelle violation des règles contractuelles conclues entre les parties. Ainsi, une non-entrée en matière s'impose au vu du caractère essentiellement civil du litige et du principe de subsidiarité sus-rappelé. En effet, si le recourant estime que la mise en cause n'était pas autorisée à agir comme elle l'a fait et qu'elle lui aurait, par son comportement, causé un préjudice financier, il pourra agir par la voie civile en vue d'obtenir, le cas échéant, la réparation du préjudice allégué. Enfin, par ses accusations, le recourant ne fait état que de conjectures et de sa propre conviction, lesquelles ne sont corroborées par aucun élément au dossier, étant précisé que la mise en cause nie le comportement reproché. En particulier, rien n'assoit, de manière suffisamment explicite, l'idée d'une mise à profit illicite des clauses contractuelles. Partant, il n'existe pas de soupçon suffisant de la commission de l'utilisation frauduleuse d'un ordinateur (art. 147 CP) de la part de la mise en cause, ou un de ses employés.</w:t>
      </w:r>
    </w:p>
    <w:p>
      <w:r>
        <w:rPr>
          <w:b/>
        </w:rPr>
        <w:t>E. 3.7</w:t>
      </w:r>
    </w:p>
    <w:p>
      <w:r>
        <w:t>À défaut d'existence d'un crime préalable (art. 138 et 147 CP), les conditions de l'art. 305bis CP ne sont pas non plus remplies.</w:t>
      </w:r>
    </w:p>
    <w:p>
      <w:r>
        <w:rPr>
          <w:b/>
        </w:rPr>
        <w:t>E. 3.8</w:t>
      </w:r>
    </w:p>
    <w:p>
      <w:r>
        <w:t>Partant, c'est à juste titre que le Ministère public n'est pas entré en matière sur les faits dénoncés et a rejeté les réquisitions de preuve formulées. En effet, faute de prévention pénale suffisante, la mise en œuvre des actes d'instruction requis, comme des perquisitions, s'apparenterait à une recherche indéterminée de preuve ("fishing expedition"), prohibée par l'art. 197 CPP.</w:t>
      </w:r>
    </w:p>
    <w:p>
      <w:r>
        <w:rPr>
          <w:b/>
        </w:rPr>
        <w:t>E. 4</w:t>
      </w:r>
    </w:p>
    <w:p>
      <w:r>
        <w:t>Justifiée, l'ordonnance querellée sera confirmée et le recours rejeté.</w:t>
      </w:r>
    </w:p>
    <w:p>
      <w:r>
        <w:rPr>
          <w:b/>
        </w:rPr>
        <w:t>E. 5</w:t>
      </w:r>
    </w:p>
    <w:p>
      <w:r>
        <w:t>Le recourant, qui succombe, supportera les frais envers l'État, fixés en totalité à CHF 1'000.- (art. 428 al. 1 CPP et 13 al. 1 du Règlement fixant le tarif des frais en matière pénale, RTFMP ; E 4 10.03). * * * * *</w:t>
      </w:r>
    </w:p>
    <w:p>
      <w:r>
        <w:t>- 9/10 - P/20388/2024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