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ACPR/549/2025 vom 26. Mai 2025</w:t>
      </w:r>
    </w:p>
    <w:p>
      <w:r>
        <w:t>GE Cour de justice, 2025-05-26, FR</w:t>
      </w:r>
    </w:p>
    <w:p>
      <w:r>
        <w:rPr>
          <w:b/>
        </w:rPr>
        <w:t xml:space="preserve">Quelle: </w:t>
      </w:r>
      <w:r>
        <w:t>https://mcp.opencaselaw.ch/entscheid/ge_gerichte_ACPR_549_2025</w:t>
      </w:r>
    </w:p>
    <w:p>
      <w:r>
        <w:t>FR: GE_GERICHTE ACPR/549/2025 du 26 mai 2025</w:t>
      </w:r>
    </w:p>
    <w:p>
      <w:r>
        <w:t>IT: GE_GERICHTE ACPR/549/2025 del 26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la jonction des procédures.</w:t>
      </w:r>
    </w:p>
    <w:p>
      <w:r>
        <w:rPr>
          <w:b/>
        </w:rPr>
        <w:t>E. 3.1</w:t>
      </w:r>
    </w:p>
    <w:p>
      <w:r>
        <w:t>L'art. 29 CPP règle le principe de l'unité de la procédure.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w:t>
      </w:r>
    </w:p>
    <w:p>
      <w:r>
        <w:rPr>
          <w:b/>
        </w:rPr>
        <w:t>E. 3.2</w:t>
      </w:r>
    </w:p>
    <w:p>
      <w:r>
        <w:t>Selon l'art. 30 CPP, si des raisons objectives le justifient, le ministère public et les tribunaux peuvent ordonner la jonction ou la disjonction de procédures pénales. Cette disposition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2ème éd., Bâle 2019, n. 2 ad art. 30). 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la procédure, le ministère public était tenu de joindre des procédures à l'encontre du même prévenu quand bien même la nature des infractions était fort différente, en l'occurrence violences domestiques et escroquerie (ATF 138 IV 214 consid. 3.6 et 3.7). Des procédures pourront être disjointes, par exemple, lorsque plusieurs faits sont reprochés à un auteur et que seule une partie de ceux-ci est en état d'être jugée, la prescription s'approchant (ATF 138 IV 214 consid. 3.2). Elles pourront également l'être en présence de difficultés liées à un grand nombre de coauteurs dont certains seraient introuvables, lorsqu'une longue procédure d'extradition est mise en œuvre ou encore en cas de violation du principe de la célérité (arrêts du Tribunal fédéral 1B_230/2019 du 8 octobre 2019 consid. 3.4; 1B_428/2018 du 7 novembre 2018 consid. 3.2). Des raisons d'organisation des autorités de poursuite pénale ne suffisent pas (ATF 138 IV 214 consid. 3.2). La violation du principe de la célérité justifie également l'application de l'art. 30 CPP; l'art. 5 al. 2 CPP impose d'ailleurs une diligence particulière lorsqu'un prévenu est placé en détention (arrêt du Tribunal fédéral 1B_684/2011 du 21 décembre 2011 consid. 3.2 in fine).</w:t>
      </w:r>
    </w:p>
    <w:p>
      <w:r>
        <w:rPr>
          <w:b/>
        </w:rPr>
        <w:t>E. 3.3</w:t>
      </w:r>
    </w:p>
    <w:p>
      <w:r>
        <w:t>En l'espèce, le recourant est prévenu dans les deux procédures concernées. Conformément au principe de l'unité de la procédure, les faits qui lui sont reprochés – et les infractions qui y sont associées – doivent donc en principe être poursuivis conjointement, quand bien même ils seraient de nature différente. En outre, la jonction querellée présente l'avantage d'éviter de devoir rendre deux décisions au fond à l'encontre du recourant.</w:t>
      </w:r>
    </w:p>
    <w:p>
      <w:r>
        <w:t>- 5/7 - P/21222/2023 Aucune raison objective ne milite pour que les faits soient poursuivis séparément, ce d'autant plus que le recourant n'est plus détenu. L'avancement des deux causes apparaît par ailleurs à un stade équivalent, de sorte qu'on ne voit pas en quoi une jonction serait susceptible de retarder sensiblement leur traitement. Ainsi, même sous l'angle de la célérité, la jonction n'apparait pas critiquable. Pour le surplus, le recourant n'invoque aucun argument susceptible de remettre en cause le bien-fondé de l'ordonnance entreprise, se limitant à plaider le fond de la cause, respectivement à contester sa – précédente – détention. Au vu de ce qui précède, l'ordonnance querellée, conforme aux réquisits des art. 29 et 30 CPP, ne prête pas le flanc à la critique. 4. Le recours sera rejeté. 5. Le recourant, qui succombe, supportera les frais envers l'État, fixés en totalité à CHF 800.- (art. 428 al. 1 CPP et 13 al. 1 du Règlement fixant le tarif des frais en matière pénale, RTFMP ; E 4 10.03). 6. Le recourant ayant agi seul pour la procédure de recours, il n'y a pas lieu à indemniser son défenseur. * * * * *</w:t>
      </w:r>
    </w:p>
    <w:p>
      <w:r>
        <w:t>- 6/7 - P/21222/2023</w:t>
      </w:r>
    </w:p>
    <w:p>
      <w:r>
        <w:rPr>
          <w:b/>
        </w:rPr>
        <w:t>E. 7</w:t>
      </w:r>
    </w:p>
    <w:p>
      <w:r>
        <w:t>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w:t>
      </w:r>
    </w:p>
    <w:p>
      <w:r>
        <w:t>- 4/7 - P/21222/2023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Code de procédure pénale, 2ème éd., Bâle 2016, n. 3 ad art.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