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ACPR/548/2025 vom 2. April 2025</w:t>
      </w:r>
    </w:p>
    <w:p>
      <w:r>
        <w:t>GE Cour de justice, 2025-04-02, FR</w:t>
      </w:r>
    </w:p>
    <w:p>
      <w:r>
        <w:rPr>
          <w:b/>
        </w:rPr>
        <w:t xml:space="preserve">Quelle: </w:t>
      </w:r>
      <w:r>
        <w:t>https://mcp.opencaselaw.ch/entscheid/ge_gerichte_ACPR_548_2025</w:t>
      </w:r>
    </w:p>
    <w:p>
      <w:r>
        <w:t>FR: GE_GERICHTE ACPR/548/2025 du 2 avril 2025</w:t>
      </w:r>
    </w:p>
    <w:p>
      <w:r>
        <w:t>IT: GE_GERICHTE ACPR/548/2025 del 2 aprile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2.1.1. En dehors des cas de défense obligatoire visés à l'art. 130 CPP,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Selon l'art. 132 al. 2 CPP, les intérêts du prévenu justifient une défense d'office notamment lorsque l'affaire n'est pas de peu de gravité et qu'elle présente des difficultés de fait ou de droit que le prévenu ne pourrait surmonter seul. En tout état de cause, une affaire n'est pas de peu de gravité lorsque le prévenu est passible d'une peine privative de liberté de plus de quatre mois ou d'une peine pécuniaire de plus de 120 jours- amende (art. 132 al. 3 CPP).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7B_611/2023 du 20 décembre 2023 consid. 3.2.1; 7B_124/2023 du 25 juillet 2023 consid. 2.1.2). 2.1.2.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140 V 521 consid. 9.1; 139 III 396 consid. 1.2; arrêt du Tribunal fédéral 7B_611/2023 du 20 décembre 2023 consid. 3.2.1). La difficulté objective d'une cause est admise lorsque la subsomption des faits donne lieu à des doutes, que ce soit de manière générale ou dans le cas particulier (arrêt du Tribunal fédéral 7B_839/2023 du 26 mars 2024 consid. 2.3) ; elle est également retenue, quand il faut apprécier des faits justificatifs ou exclusifs de responsabilité (arrêt du Tribunal fédéral 1B_66/2017 du 31 mars 2017 consid. 2.1 et les références). Pour apprécier la difficulté subjective d'une cause, il faut tenir compte des capacités du prévenu, notamment de son âge, de sa formation, de sa plus ou moins grande</w:t>
      </w:r>
    </w:p>
    <w:p>
      <w:r>
        <w:t>- 6/9 - P/11890/2022 familiarité avec la pratique judiciaire, de sa maîtrise de la langue de la procédure (ATF 128 I 225 consid. 2.5.2 ; arrêt du Tribunal fédéral 1B_203/2014 du 2 octobre 2014 consid. 2.1 ; 1B_257/2013 du 28 octobre 2013 consid. 2.1 = SJ 2014 I 273), ainsi que des mesures qui paraissent nécessaires, dans le cas particulier, pour assurer sa défense, notamment en ce qui concerne les preuves qu'il devra offrir (ATF 115 Ia 103 consid. 4 ; arrêts du Tribunal fédéral 7B_611/2023 du 20 décembre 2023 consid. 3.2.1; 7B_124/2023 précité ; 1B_93/2018 du 29 mai 2018 consid. 3.1 ; 1B_66/2017 du 31 mars 2017 consid. 2.1). 2.1.3. Si les deux conditions mentionnées à l'art. 132 al. 2 CPP doivent être réunies cumulativement, il n'est pas exclu que l'intervention d'un défenseur soit justifiée par d'autres motifs, en particulier dans les cas où cette mesure est nécessaire pour garantir l'égalité des armes ou parce que l'issue de la procédure pénale a une importance particulière pour le prévenu (arrêts du Tribunal fédéral 1B_12/2020 du 24 janvier 2020 consid. 3.1 ; 1B_494/2019 du 20 décembre 2019 consid. 3.1). Des conflits d'intérêts familiaux, des difficultés linguistiques, un manque de formation scolaire ou la confrontation avec des parties adverses ou des co-prévenus représentés par un avocat peuvent également être à l'origine de difficultés de fait ou de droit qui, considérées dans leur ensemble, plaident en faveur de la nécessité objective d'une défense d'office (ATF 138 IV 35 consid. 6.3 s. ; 128 I 225 consid. 2.5.2 p. 232; arrêts du Tribunal fédéral 7B_192/2024 du 5 février 2025 consid. 3.2). 2.2.1. Conformément à l'art. 174 ch. 1 CP, quiconque, connaissant la fausseté de ses allégations et en s’adressant à un tiers, accuse une personne ou jette sur elle le soupçon de tenir une conduite contraire à l’honneur, ou de tout autre fait propre à porter atteinte à sa considération, quiconque propage de telles accusations ou de tels soupçons, alors qu’il en connaît l’inanité, est, sur plainte, puni d’une peine privative de liberté de trois ans au plus ou d’une peine pécuniaire. Sur le plan subjectif, la calomnie implique que l'auteur ait agi avec l'intention de tenir des propos attentatoires à l'honneur d'autrui et de les communiquer à des tiers, le dol éventuel étant à cet égard suffisant. Il doit, en outre, avoir su ses allégations fausses. Sur ce point, le dol éventuel ne suffit pas (cf. ATF 136 IV 170 consid. 2.1 ; arrêts du Tribunal fédéral 6B_324/2015 du 18 janvier 2016 et 6B_498/2012 du 14 février 2013 consid. 5.1). Par ailleurs, cela suppose implicitement que le fait allégué soit objectivement faux.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telle la preuve de la bonne foi.</w:t>
      </w:r>
    </w:p>
    <w:p>
      <w:r>
        <w:t>- 7/9 - P/11890/2022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(arrêts du Tribunal fédéral 6B_119/2017 du 12 décembre 2017 consid. 3.1 ; 6B_1100/2016 du 25 octobre 2017 consid. 3.4 ; 6B_1286/2016 du 15 août 2017 consid. 1.2 ; 6B_498/2012 du 14 février 2013 consid. 5.3.1 et 6B_506/2010 du 21 octobre 2010 consid. 3.1.2). 2.2.2. L'art. 303 CP punit, quant à lui, d'une peine privative de liberté de cinq ans au plus ou d'une peine pécuniaire quiconque dénonce à l'autorité, comme auteur d'un crime ou d'un délit, une personne qu'il sait innocente, en vue de faire ouvrir contre elle une poursuite pénale. Selon l'art. 303 ch. 1 al. 2 CP, quiconque, de toute autre manière, ourdit des machinations astucieuses en vue de provoquer l'ouverture d'une poursuite pénale contre une personne qu'il sait innocente, est puni d'une peine privative de liberté de cinq ans au plus ou d'une peine pécuniaire. Selon la jurisprudence, malgré un jugement d'acquittement dans la procédure préalable, le prévenu dans la procédure pour dénonciation calomnieuse pourrait invoquer pour sa propre défense ce qui, à son avis, plaide en faveur de la culpabilité de l'autre, afin de démontrer qu'il a porté l'accusation de bonne foi (ATF 136 IV 170 consid 2.2. ; 72 IV 74 consid. 1 in fine).</w:t>
      </w:r>
    </w:p>
    <w:p>
      <w:r>
        <w:rPr>
          <w:b/>
        </w:rPr>
        <w:t>E. 2.3</w:t>
      </w:r>
    </w:p>
    <w:p>
      <w:r>
        <w:t>En l'espèce, il ne ressort pas de l'ordonnance querellée que l'impécuniosité de la recourante soit contestée, ce que l'octroi de l'assistance judiciaire gratuite dans la procédure P/1______/2022 vient confirmer. La peine concrètement encourue, que le Ministère public annonce, dans l'ordonnance querellée, ne pas dépasser une peine privative de liberté de quatre mois ou une peine pécuniaire de 120 jours-amende, reste sous le seuil légal de l'art. 132 al. 3 CPP de sorte qu'il peut être considéré que la cause paraît de peu de gravité. Cela étant, le contexte de la présente affaire est particulier. La recourante, qui avait un statut de victime dans la procédure P/1______/2022, avait déposé plainte pour viol, contrainte sexuelle, abus de détresse et contrainte contre son ancien employeur, lequel est assisté d'un avocat. L'employeur a finalement été disculpé et agit désormais contre son ancienne employée pour dénonciation calomnieuse et calomnie. On peut ainsi considérer que, dans ces circonstances particulières, l'absence de conseil aux côtés de la recourante, si elle venait à comparaître seule, renforcerait le déséquilibre préexistant entre un employeur et son ancienne employée. Cela conduit à retenir, en faveur de la recourante, une difficulté subjective de la cause. Cette configuration rend ainsi nécessaire que la recourante bénéficie des services d'un avocat pour pouvoir se défendre correctement (ACPR/95/2016 du 15 février 2016). Au vu des circonstances, il se justifie de mettre la recourante au bénéfice d'une défense d'office, au jour du dépôt de sa demande.</w:t>
      </w:r>
    </w:p>
    <w:p>
      <w:r>
        <w:t>- 8/9 - P/11890/2022</w:t>
      </w:r>
    </w:p>
    <w:p>
      <w:r>
        <w:rPr>
          <w:b/>
        </w:rPr>
        <w:t>E. 3</w:t>
      </w:r>
    </w:p>
    <w:p>
      <w:r>
        <w:t>Fondé, le recours doit être admis ; partant, l'ordonnance querellée sera annulée.</w:t>
      </w:r>
    </w:p>
    <w:p>
      <w:r>
        <w:rPr>
          <w:b/>
        </w:rPr>
        <w:t>E. 4</w:t>
      </w:r>
    </w:p>
    <w:p>
      <w:r>
        <w:t>La procédure de recours contre le refus de l'octroi de l'assistance juridique ne donne pas lieu à la perception de frais (art. 20 RAJ).</w:t>
      </w:r>
    </w:p>
    <w:p>
      <w:r>
        <w:rPr>
          <w:b/>
        </w:rPr>
        <w:t>E. 5</w:t>
      </w:r>
    </w:p>
    <w:p>
      <w:r>
        <w:t>L'indemnité de la défenseure d'office nouvellement désignée sera fixée à la fin de la procédure (art. 135 al. 2 CPP). * * * * *</w:t>
      </w:r>
    </w:p>
    <w:p>
      <w:r>
        <w:t>- 9/9 - P/11890/2022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