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ACPR/548/2024 vom 18. Juni 2024</w:t>
      </w:r>
    </w:p>
    <w:p>
      <w:r>
        <w:t>GE Cour de justice, 2024-06-18, FR</w:t>
      </w:r>
    </w:p>
    <w:p>
      <w:r>
        <w:rPr>
          <w:b/>
        </w:rPr>
        <w:t xml:space="preserve">Quelle: </w:t>
      </w:r>
      <w:r>
        <w:t>https://mcp.opencaselaw.ch/entscheid/ge_gerichte_ACPR_548_2024</w:t>
      </w:r>
    </w:p>
    <w:p>
      <w:r>
        <w:t>FR: GE_GERICHTE ACPR/548/2024 du 18 juin 2024</w:t>
      </w:r>
    </w:p>
    <w:p>
      <w:r>
        <w:t>IT: GE_GERICHTE ACPR/548/2024 del 18 giugno 2024</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invoque une violation de son droit d'être entendu.</w:t>
      </w:r>
    </w:p>
    <w:p>
      <w:r>
        <w:rPr>
          <w:b/>
        </w:rPr>
        <w:t>E. 3.1</w:t>
      </w:r>
    </w:p>
    <w:p>
      <w:r>
        <w:t>La jurisprudence a déduit du droit d'être entendu ancré à l'art. 29 al. 2 Cst féd.. l'obligation pour l'autorité de motiver sa décision, afin que l'intéressé puisse se rendre</w:t>
      </w:r>
    </w:p>
    <w:p>
      <w:r>
        <w:t>- 6/10 - PM/541/2024 compte de la portée de celle-ci et exercer son droit de recours à bon escient (arrêt du Tribunal fédéral 1B_539/2019 du 19 mars 2020 consid. 3.1 et les références citées).</w:t>
      </w:r>
    </w:p>
    <w:p>
      <w:r>
        <w:rPr>
          <w:b/>
        </w:rPr>
        <w:t>E. 3.2</w:t>
      </w:r>
    </w:p>
    <w:p>
      <w:r>
        <w:t>En l'espèce, le TAPEM a dûment détaillé les raisons pour lesquelles il a estimé que le pronostic du recourant se présentait sous un jour défavorable, retenant également que – au vu du but de la libération conditionnelle – il était sans pertinence que l'intéressé fasse l'objet d'une demande d'extradition pour exécuter sa peine en France. Le recourant a été en mesure de former recours en contestant cette position, de sorte que son droit d'être entendu n'a pas été violé. Le grief est dès lors infondé.</w:t>
      </w:r>
    </w:p>
    <w:p>
      <w:r>
        <w:rPr>
          <w:b/>
        </w:rPr>
        <w:t>E. 4</w:t>
      </w:r>
    </w:p>
    <w:p>
      <w:r>
        <w:t>Le recourant estime remplir les conditions d'une libération conditionnelle.</w:t>
      </w:r>
    </w:p>
    <w:p>
      <w:r>
        <w:rPr>
          <w:b/>
        </w:rPr>
        <w:t>E. 4.1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et les références citées). Par sa nature même, le pronostic ne saurait être tout à fait sûr; force est de se contenter d'une certaine probabilité; un risque de récidive est inhérent à toute libération, conditionnelle ou définitive (ATF 119 IV 5 consid. 1b).</w:t>
      </w:r>
    </w:p>
    <w:p>
      <w:r>
        <w:rPr>
          <w:b/>
        </w:rPr>
        <w:t>E. 4.2</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et les références citées).</w:t>
      </w:r>
    </w:p>
    <w:p>
      <w:r>
        <w:t>- 7/10 - PM/541/2024</w:t>
      </w:r>
    </w:p>
    <w:p>
      <w:r>
        <w:rPr>
          <w:b/>
        </w:rPr>
        <w:t>E. 4.3</w:t>
      </w:r>
    </w:p>
    <w:p>
      <w:r>
        <w:t>En l'espèce, la condition objective d'une libération conditionnelle du recourant est réalisée depuis le 20 juin 2024. Cela étant, les préavis le concernant sont tous défavorables, à commencer par celui de l'établissement pénitentiaire, qui l'a sanctionné à réitérées reprises pour violences physiques, consommation et possession de stupéfiants, détention d'objet dangereux et refus de travailler. L'on ne saurait qualifier ces sanctions de mineures, étant précisé que le recourant n'a formé recours que contre la dernière en date. En outre, le précité a été, entre 2019 et 2020, condamné, à quatre reprises, en France pour infractions au patrimoine. Ni l'octroi des sursis, ni les courtes peines privatives de liberté prononcées à son endroit ne l'ont dissuadé de récidiver. Au contraire, on observe, à cet égard, une gradation dans les infractions, le recourant ayant été en dernier lieu condamné pour tentative de meurtre et violences avec usage d'une arme. De surcroit, le recourant ne semble guère enclin à assumer l'entière responsabilité de ses actes, soutenant aujourd'hui encore ne pas avoir assené le coup de couteau à la victime. Il n'a en outre rien fait pour obtenir ses documents d'identité jusqu'à aujourd'hui. Enfin, son projet de travailler en France est flou, dans la mesure où il ne fournit aucune précision fiable et concrète s'agissant des perspectives professionnelles alléguées. Ce tableau rend le risque de réitération important pour des infractions contre les personnes et/ou les stupéfiants, et ce, même en milieu fermé, au vu de nombreuses sanctions disciplinaires prononcées à son encontre. Le fait que le recourant se comporte correctement aux ateliers dans lesquels il travaille – et qu'il ait produit une promesse de mariage avec une ressortissante européenne – ne suffisent pas à contrebalancer l'ensemble des éléments précités. Enfin, il est sans pertinence, au vu du but de la libération conditionnelle, que le recourant fasse l'objet d'une condamnation à une peine privative de liberté en France. En effet, la libération conditionnelle constitue la dernière étape de l'exécution de la sanction pénale en vue de la réinsertion, et non un moyen de transfert d'établissement pénitentiaire. Admettre une libération conditionnelle pour ce motif viderait de son sens le principe même et ses modalités d'exécution, ainsi que la possibilité de révoquer cette dernière en cas d'échec de la mise à l'épreuve. Ainsi, le recourant ne saurait prendre prétexte d'une violation de l'art. 86 CP, non réalisée, pour exiger son transfert d'établissement pénitentiaire, respectivement son extradition.</w:t>
      </w:r>
    </w:p>
    <w:p>
      <w:r>
        <w:rPr>
          <w:b/>
        </w:rPr>
        <w:t>E. 5</w:t>
      </w:r>
    </w:p>
    <w:p>
      <w:r>
        <w:t>Le recours sera dès lors rejeté.</w:t>
      </w:r>
    </w:p>
    <w:p>
      <w:r>
        <w:rPr>
          <w:b/>
        </w:rPr>
        <w:t>E. 6</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w:t>
      </w:r>
    </w:p>
    <w:p>
      <w:r>
        <w:t>- 8/10 - PM/541/2024 l'obtention de l'assistance judiciaire (arrêts du Tribunal fédéral 1B_372/2014 du</w:t>
      </w:r>
    </w:p>
    <w:p>
      <w:r>
        <w:rPr>
          <w:b/>
        </w:rPr>
        <w:t>E. 8</w:t>
      </w:r>
    </w:p>
    <w:p>
      <w:r>
        <w:t>avril 2015 consid. 4.6 et 1B_203/2011 du 18 mai 2011 consid. 4). 7. 7.1. À teneur de l'art. 135 al. 1 CPP, le défenseur d'office est indemnisé conformément au tarif des avocats de la Confédération ou du canton du for du procès. Seules les heures nécessaires sont retenues. Elles sont appréciées en fonction notamment de la nature, de l'importance et des difficultés de la cause, de la qualité du travail fourni et du résultat obtenu (art. 16 al. 2 RAJ).</w:t>
      </w:r>
    </w:p>
    <w:p>
      <w:r>
        <w:t>7.2. En l'occurrence, le conseil du recourant n'a pas produit d'état de frais, ni chiffré ses prétentions. Au vu de l'absence de complexité particulière du dossier et compte tenu de l'acte de recours, lequel reprend en substance les termes du courrier du 15 juin 2024, 2 heures d'activité, au tarif horaire de CHF 200.-, apparaissent en adéquation avec le travail accompli.</w:t>
      </w:r>
    </w:p>
    <w:p>
      <w:r>
        <w:t>Sa rémunération sera, partant, arrêtée à CHF 432.40, TVA de 8.1% incluse (CHF 32.40). * * * * *</w:t>
      </w:r>
    </w:p>
    <w:p>
      <w:r>
        <w:t>- 9/10 - PM/541/2024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