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ACPR/547/2022 vom 25. Juli 2022</w:t>
      </w:r>
    </w:p>
    <w:p>
      <w:r>
        <w:t>GE Cour de justice, 2022-07-25, FR</w:t>
      </w:r>
    </w:p>
    <w:p>
      <w:r>
        <w:rPr>
          <w:b/>
        </w:rPr>
        <w:t xml:space="preserve">Quelle: </w:t>
      </w:r>
      <w:r>
        <w:t>https://mcp.opencaselaw.ch/entscheid/ge_gerichte_ACPR_547_2022</w:t>
      </w:r>
    </w:p>
    <w:p>
      <w:r>
        <w:t>FR: GE_GERICHTE ACPR/547/2022 du 25 juillet 2022</w:t>
      </w:r>
    </w:p>
    <w:p>
      <w:r>
        <w:t>IT: GE_GERICHTE ACPR/547/2022 del 25 luglio 2022</w:t>
      </w:r>
    </w:p>
    <w:p>
      <w:pPr>
        <w:pStyle w:val="Heading2"/>
      </w:pPr>
      <w:r>
        <w:t>Erwägungen</w:t>
      </w:r>
    </w:p>
    <w:p>
      <w:r>
        <w:rPr>
          <w:b/>
        </w:rPr>
        <w:t>E. 1</w:t>
      </w:r>
    </w:p>
    <w:p>
      <w:r>
        <w:t>Le recours est recevable pour avoir été déposé selon la forme et dans le délai prescrits (art.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Sous couvert de douter de l'impartialité du premier juge – dont il n'a cependant pas demandé la récusation –, le recourant conteste les charges de contrainte sexuelle, admet celles d'infraction à la LÉI et semble relativiser celles entourant son appréhension policière. Quoi qu'il en dise, sur chacune de ces préventions, les indices rendant plausible la commission des actes reprochés sont suffisants. Sa contestation des actes de nature sexuelle et ses explications, consistant à admettre simultanément s'être trouvé en état d'ivresse avancée et ne se souvenir qu'imparfaitement de sa soirée, ne suffisent pas à infirmer ces indices. Le rapport d'interpellation montre qu'il s'est opposé à son appréhension et a menacé du geste un policier lors de sa mise aux violons. On peut renvoyer à l'ordonnance attaquée (art. 82 al. 4 CPP; arrêt du Tribunal fédéral 1B_252/2020 du 11 juin 2020 consid. 2.1.; ACPR/547/2020 du 18 août 2020 consid. 2 et les références; N. SCHMID / D. JOSITSCH, Schweizerische Strafprozessordnung : Praxiskommentar, 3e éd., Zurich 2018, n. 15 ad art. 82). Comme la loi punit ses actes-là comme un crime et que les autres préventions relèvent du délit, soit des infractions permettant comme telles la détention provisoire (cf. art. 221 al. 1 in initio CPP), peu importe que ses autres griefs, dirigés contre les préventions de nature contraventionnelle, ne soient pas d'une grande limpidité.</w:t>
      </w:r>
    </w:p>
    <w:p>
      <w:r>
        <w:t>- 4/7 - P/24933/2021</w:t>
      </w:r>
    </w:p>
    <w:p>
      <w:r>
        <w:rPr>
          <w:b/>
        </w:rPr>
        <w:t>E. 3</w:t>
      </w:r>
    </w:p>
    <w:p>
      <w:r>
        <w:t>Le recourant ne conteste pas n'avoir aucune attache avec la Suisse. Dès lors, un risque concret de fuite peut lui être opposé. 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À cet égard, on ne voit pas en quoi la gravité des charges relatives à la présomption d'agression sexuelle devrait être "tempérée", et en tout cas pas au point d'annihiler toute tentation de s'enfuir et de ne pas comparaître à son jugement. Certes, le recourant semble prôner une mesure de substitution consistant à se présenter périodiquement à un poste de police (suisse; cf. art. 237 al. 2 let. d CPP). Or, il se propose dans le même temps de résider à E______ (France). Dans ces circonstances, l'obligation de s'annoncer à un office déterminé, qui ne sert qu'à constater la fuite quelques jours après qu'elle est survenue (arrêt du Tribunal fédéral 1B_586/2011 du 8 novembre 2011 consid. 4.4), n'offre aucune garantie suffisante de représentation aux actes à venir de la procédure.</w:t>
      </w:r>
    </w:p>
    <w:p>
      <w:r>
        <w:rPr>
          <w:b/>
        </w:rPr>
        <w:t>E. 4</w:t>
      </w:r>
    </w:p>
    <w:p>
      <w:r>
        <w:t>Ce qui précède rend superflu l’examen du risque de collusion.</w:t>
      </w:r>
    </w:p>
    <w:p>
      <w:r>
        <w:rPr>
          <w:b/>
        </w:rPr>
        <w:t>E. 5</w:t>
      </w:r>
    </w:p>
    <w:p>
      <w:r>
        <w:t>En appelant à relativiser la gravité des charges retenues contre lui, le recourant semble se plaindre que sa détention provisoire serait disproportionnée, notamment en rappelant qu'il est détenu depuis sept mois.</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rPr>
          <w:b/>
        </w:rPr>
        <w:t>E. 5.2</w:t>
      </w:r>
    </w:p>
    <w:p>
      <w:r>
        <w:t>À cette aune, la détention du recourant, qui a commencé le 27 décembre 2021, ne paraît pas excéder la peine à laquelle il pourrait être condamné s’il était reconnu coupable de toutes les préventions retenues contre lui. On a vu plus haut que les infractions dont il pourrait être appelé à répondre sont des crimes et délits. Par le jeu éventuel du concours d'infraction (art. 49 CP), la durée de sa détention, même au terme accordé par le premier juge, ne semble pas déjà égale ou supérieure à la peine concrètement envisageable.</w:t>
      </w:r>
    </w:p>
    <w:p>
      <w:r>
        <w:t>- 5/7 - P/24933/2021</w:t>
      </w:r>
    </w:p>
    <w:p>
      <w:r>
        <w:rPr>
          <w:b/>
        </w:rPr>
        <w:t>E. 6</w:t>
      </w:r>
    </w:p>
    <w:p>
      <w:r>
        <w:t>Le recours doit être rejeté.</w:t>
      </w:r>
    </w:p>
    <w:p>
      <w:r>
        <w:rPr>
          <w:b/>
        </w:rPr>
        <w:t>E. 7</w:t>
      </w:r>
    </w:p>
    <w:p>
      <w:r>
        <w:t>N’obtenant pas gain de cause, le recourant, bien qu'au bénéfice d'une défense d'office, assumera les frais de la procédure de recours (art. 428 al. 1 CPP; arrêts du Tribunal fédéral 1B_203/2011 du 18 mai 2011 consid. 4 et 1B_372/2014 du 8 avril 2015 consid. 4.6, qui rappellent que l'autorité de deuxième instance est tenue de dresser un état de frais pour la procédure de recours, sans égard à l'obtention de l'assistance judiciaire). Ces frais seront arrêtés en totalité à CHF 900.- (art. 13 al. 1 du Règlement fixant le tarif des frais en matière pénale, RTFMP; E 4 10.03).</w:t>
      </w:r>
    </w:p>
    <w:p>
      <w:r>
        <w:rPr>
          <w:b/>
        </w:rPr>
        <w:t>E. 8</w:t>
      </w:r>
    </w:p>
    <w:p>
      <w:r>
        <w:t>Le recourant a agi en personne, son avocate d'office n'étant intervenue qu'en phase de réplique. Il n'y a pas lieu d'indemniser celle-ci à ce stade (cf. art. 135 al. 2 CPP). Elle n'y a d'ailleurs pas conclu. * * * * *</w:t>
      </w:r>
    </w:p>
    <w:p>
      <w:r>
        <w:t>- 6/7 - P/24933/2021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