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ACPR/545/2022 vom 29. Juni 2022</w:t>
      </w:r>
    </w:p>
    <w:p>
      <w:r>
        <w:t>GE Cour de justice, 2022-06-29, FR</w:t>
      </w:r>
    </w:p>
    <w:p>
      <w:r>
        <w:rPr>
          <w:b/>
        </w:rPr>
        <w:t xml:space="preserve">Quelle: </w:t>
      </w:r>
      <w:r>
        <w:t>https://mcp.opencaselaw.ch/entscheid/ge_gerichte_ACPR_545_2022</w:t>
      </w:r>
    </w:p>
    <w:p>
      <w:r>
        <w:t>FR: GE_GERICHTE ACPR/545/2022 du 29 juin 2022</w:t>
      </w:r>
    </w:p>
    <w:p>
      <w:r>
        <w:t>IT: GE_GERICHTE ACPR/545/2022 del 29 giugno 2022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art. 5 al. 2 let. e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w:t>
      </w:r>
    </w:p>
    <w:p>
      <w:r>
        <w:rPr>
          <w:b/>
        </w:rPr>
        <w:t>E. 1.2</w:t>
      </w:r>
    </w:p>
    <w:p>
      <w:r>
        <w:t>La décision querellée ayant autorisé l'exécution de la peine privative de liberté sous la forme de la semi-détention, alors que le recourant avait requis une surveillance électronique, elle contient un refus implicite de cette forme d'exécution de peine, contre lequel le recours est également recevable (art. 52 al. 2 du Règlement sur les formes alternatives d'exécution des peines du 13 décembre 2017 [RFAEP; E 4 55.13]).</w:t>
      </w:r>
    </w:p>
    <w:p>
      <w:r>
        <w:rPr>
          <w:b/>
        </w:rPr>
        <w:t>E. 2</w:t>
      </w:r>
    </w:p>
    <w:p>
      <w:r>
        <w:t>Il reste à trancher la question du caractère exécutoire de la peine privative de liberté de substitution de 60 jours. Par courrier interne du 20 décembre 2021, le SdC a invité le SAPEM à exécuter la peine pécuniaire infligée par ordonnance pénale du 21 avril 2021, en mentionnant sa "conversion" en 60 jours de peine privative de liberté de substitution. Si l'on peut s'étonner que, par suite du non-paiement par le condamné de la peine pécuniaire, le SdC n'ait – à teneur des documents remis à la Chambre de céans – pas informé celui- ci que la peine pécuniaire avait fait place à une peine privative de liberté, force est de constater que la condamnation du 21 avril 2021 est exécutoire et que la conversion est conforme à l'art. 36 al. 1 CP.</w:t>
      </w:r>
    </w:p>
    <w:p>
      <w:r>
        <w:t>- 6/9 - PS/49/2022</w:t>
      </w:r>
    </w:p>
    <w:p>
      <w:r>
        <w:rPr>
          <w:b/>
        </w:rPr>
        <w:t>E. 3</w:t>
      </w:r>
    </w:p>
    <w:p>
      <w:r>
        <w:t>Le recourant reproche au SAPEM d'avoir autorisé l'exécution de la peine en semi- détention, en lieu et place d'une surveillance électronique.</w:t>
      </w:r>
    </w:p>
    <w:p>
      <w:r>
        <w:rPr>
          <w:b/>
        </w:rPr>
        <w:t>E. 3.1</w:t>
      </w:r>
    </w:p>
    <w:p>
      <w:r>
        <w:t>Selon l'art. 77b al. 1 CP,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 arrêt du Tribunal fédéral 6B_872/2021 du 28 juin 2022 consid. 2.1).</w:t>
      </w:r>
    </w:p>
    <w:p>
      <w:r>
        <w:rPr>
          <w:b/>
        </w:rPr>
        <w:t>E. 3.2</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s'il n'y a pas lieu de craindre que le condamné s'enfuie ou commette d'autres infractions (let. a) ; s'il dispose d'un logement (let. b) ; s'il exerce une activité régulière qu'il s'agisse d'un travail, d'une formation ou d'une occupation, pendant au moins 20 heures par semaine, ou s'il est possible de l'y assigner (let. c); si les personnes adultes faisant ménage commun avec lui y consentent (let. d) ; et s'il approuve le plan d'exécution établi à son intention (let. e). Si les conditions prévues à l’al. 2, let. a, b ou c,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(al. 3).</w:t>
      </w:r>
    </w:p>
    <w:p>
      <w:r>
        <w:rPr>
          <w:b/>
        </w:rPr>
        <w:t>E. 3.3</w:t>
      </w:r>
    </w:p>
    <w:p>
      <w:r>
        <w:t>La surveillance électronique est un mode d'exécution de la peine privative de liberté (Vollzugsstufe), alternative à la prison qui vient s'ajouter aux solutions de la semi-détention (art. 77b CP) et du travail d'intérêt général (art. 79a CP) en début de peine. L'idée centrale de cette mesure, si elle tend sans doute à désengorger les</w:t>
      </w:r>
    </w:p>
    <w:p>
      <w:r>
        <w:t>- 7/9 - PS/49/2022 prisons, est avant tout de limiter les effets nocifs de la détention, en évitant du condamné qu'il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2ème éd., Bâle 2021, n. 5 ad art. 79b CP). Si on en croit la structure de la loi, il faut considérer que la surveillance électronique doit avoir la préférence sur la semi-détention, dès lors que ce second mode d'exécution de la peine peut intervenir en cas d'échec du premier, comme le prévoit l'art. 79b al. 3 CP. On peut y déceler une hiérarchisation des modes d'exécution de la peine privative de liberté, allant de la surveillance électronique au mode d'exécution ordinaire, en passant par la semi-détention (L. MOREILLON / A. MACALUSO / N. QUELOZ / N. DONGOIS, op. cit., n. 9 ad art. 79b CP).</w:t>
      </w:r>
    </w:p>
    <w:p>
      <w:r>
        <w:rPr>
          <w:b/>
        </w:rPr>
        <w:t>E. 3.4</w:t>
      </w:r>
    </w:p>
    <w:p>
      <w:r>
        <w:t>La condition de l'absence de risque de récidive posée par l'art. 79b al. 2 let. a CP étant identique à celle posée par l'art. 77b al. 1 let. a CP, elle doit être appliquée de la même manière (arrêt du Tribunal fédéral 6B_872/2021 précité, consid. 2.2 et la référence citée). Contrairement au sursis et à la libération conditionnelle, toutes les infractions sont envisagées dans le risque de récidive mentionné à l'art. 79b al. 2 let. a CP, et pas seulement les délits et crimes (L. MOREILLON / A. MACALUSO / N. QUELOZ / N. DONGOIS, op. cit.,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3.5</w:t>
      </w:r>
    </w:p>
    <w:p>
      <w:r>
        <w:t>En l'espèce, le SAPEM a ordonné l'exécution, par le recourant, de 66 jours de peines privatives de liberté de substitution, sous la forme d'une semi-détention en raison d'un risque de récidive jugé "concret", nécessitant selon lui un cadre plus soutenant que celui de la surveillance électronique. Si le recourant a, certes, été condamné à cinq reprises, depuis 2012, pour violation de l'art. 159 CP, de l'art. 169 CP et pour des délits à la LAVS et la LPP – la dernière fois après la condamnation dont l'exécution est discutée ici –, on ne saurait retenir qu'il existe actuellement un risque de récidive concret. Le recourant paraît en effet – selon des allégations non remises en cause par l'autorité intimée – être désormais employé d'une société tierce, ce qui rend, de facto, impossible la récidive des infractions</w:t>
      </w:r>
    </w:p>
    <w:p>
      <w:r>
        <w:t>- 8/9 - PS/49/2022 précédemment commises en sa qualité de gérant de sociétés. Le fait que la faillite de la société du recourant, prononcée le ______ 2021, ait été suspendue pour défaut d'actif ne fait pas renaître un risque, cette entreprise n'étant pas active pour autant. Les faits actuellement reprochés au recourant dans une procédure en cours devant le Ministère public ont été commis en sa qualité de gérant, qu'il ne revêt plus. En outre, le risque que l'intéressé constitue une nouvelle société durant l'exécution des 66 jours de peine privative de liberté paraît faible, compte tenu qu'il bénéficie d'un emploi. Au surplus, on ne saurait retenir ici un risque de nouvelle infraction à la LCR, ce que l'autorité intimée n'évoque pas non plus. Il s'ensuit qu'au vu des infractions concernées, le risque de réitération – dont l'examen est le même pour la semi-détention et la surveillance électronique – ne saurait, en l'état, être retenu pour empêcher l'exécution de la peine privative de liberté sous une forme alternative. Conformément aux principes dégagés par la jurisprudence et la doctrine sus- rappelées, la priorité doit, lorsque les autres conditions sont remplies, être donnée à la surveillance électronique, dans la mesure où le recourant n'a, à ce jour, jamais exécuté de peine privative de liberté (contrairement au cas examiné dans l'arrêt 6B_872/2021 précité, dans lequel le condamné avait déjà récidivé durant l'exécution de précédentes peines sous le régime de la surveillance électronique). Le SAPEM considère que la semi-détention offrirait au recourant un environnement plus cadrant, mais, faute de risque concret de récidive, la présence d'un cadre ne parait pas primordiale ici. Il convient également de laisser la possibilité d'une solution de secours, plus soutenante, dans l'éventualité visée à l'art. 79d al. 3 CP, avant l'exécution ordinaire (art. 77 CP).</w:t>
      </w:r>
    </w:p>
    <w:p>
      <w:r>
        <w:rPr>
          <w:b/>
        </w:rPr>
        <w:t>E. 4</w:t>
      </w:r>
    </w:p>
    <w:p>
      <w:r>
        <w:t>Fondé, le recours doit être admis ; partant, la décision querellée sera annulée et le SAPEM invité à examiner la demande d'exécution de peine sous la forme d'une surveillance électronique, en tenant compte des considérations qui précèdent, puis à statuer à nouveau.</w:t>
      </w:r>
    </w:p>
    <w:p>
      <w:r>
        <w:rPr>
          <w:b/>
        </w:rPr>
        <w:t>E. 5</w:t>
      </w:r>
    </w:p>
    <w:p>
      <w:r>
        <w:t>L'admission du recours ne donne pas lieu à la perception de frais (art. 428 al. 1 CPP).</w:t>
      </w:r>
    </w:p>
    <w:p>
      <w:r>
        <w:rPr>
          <w:b/>
        </w:rPr>
        <w:t>E. 6</w:t>
      </w:r>
    </w:p>
    <w:p>
      <w:r>
        <w:t>Le recourant, qui obtient gain de cause, agit en personne et ne justifie pas de frais liés à sa défense, de sorte qu'aucune indemnité ne lui est due. * * * * *</w:t>
      </w:r>
    </w:p>
    <w:p>
      <w:r>
        <w:t>- 9/9 - PS/49/2022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