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ACPR/543/2019 vom 7. Februar 2019</w:t>
      </w:r>
    </w:p>
    <w:p>
      <w:r>
        <w:t>GE Cour de justice, 2019-02-07, FR</w:t>
      </w:r>
    </w:p>
    <w:p>
      <w:r>
        <w:rPr>
          <w:b/>
        </w:rPr>
        <w:t xml:space="preserve">Quelle: </w:t>
      </w:r>
      <w:r>
        <w:t>https://mcp.opencaselaw.ch/entscheid/ge_gerichte_ACPR_543_2019</w:t>
      </w:r>
    </w:p>
    <w:p>
      <w:r>
        <w:t>FR: GE_GERICHTE ACPR/543/2019 du 7 février 2019</w:t>
      </w:r>
    </w:p>
    <w:p>
      <w:r>
        <w:t>IT: GE_GERICHTE ACPR/543/2019 del 7 febbraio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recourantes reprochent au Ministère public de ne pas être entré en matière sur leur plainte du 17 juillet 2017.</w:t>
      </w:r>
    </w:p>
    <w:p>
      <w:r>
        <w:rPr>
          <w:b/>
        </w:rPr>
        <w:t>E. 3.1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w:t>
      </w:r>
    </w:p>
    <w:p>
      <w:r>
        <w:t>- 6/11 - P/15066/2017 particulier en présence d'infraction grave (ATF 143 IV 241 consid. 2.2.1; ATF 138 IV 86 consid. 4.1.2; ATF 137 IV 285 consid. 2.5; arrêts du Tribunal fédéral 6B_417/2017 du 10 janvier 2018 consid. 2.1.2 ; 6B_185/2016 du 30 novembre 2016 consid. 2.1.2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w:t>
      </w:r>
    </w:p>
    <w:p>
      <w:r>
        <w:rPr>
          <w:b/>
        </w:rPr>
        <w:t>E. 3.2</w:t>
      </w:r>
    </w:p>
    <w:p>
      <w:r>
        <w:t>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 dire par ses paroles ou par ses actes, il ait confirmé la dupe dans son erreur ; cette hypothèse se distingue des deux précédentes en ce sens que l'erreur est préexistante (arrêts du Tribunal fédéral 6S_18/2007 du 2 mars 2007 consid. 2.1.1. et 6S_380/2001</w:t>
      </w:r>
    </w:p>
    <w:p>
      <w:r>
        <w:t>- 7/11 - P/15066/2017 du 13 novembre 2001 consid. 2b/aa non publié à l’ATF 128 IV 255 et les références citées).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81 s. et les références citées). L'astuce n'est en revanche pas réalisée si la dupe pouvait se protéger avec un minimum d'attention ou éviter l'erreur avec le minimum de prudence que l'on pouvait attendre d'elle (ATF 135 IV 76 consid. 5.2 p. 81). De manière générale, celui qui promet une prestation sans avoir l'intention de l'exécuter agit astucieusement, parce qu'en promettant, il donne le change sur ses véritables intentions, ce que sa victime est dans l'impossibilité de vérifier (ATF 86 IV 205 = JdT 1968 IV 8; ATF 73 IV 225 = JdT 1948 IV 10). 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w:t>
      </w:r>
    </w:p>
    <w:p>
      <w:r>
        <w:rPr>
          <w:b/>
        </w:rPr>
        <w:t>E. 3.3</w:t>
      </w:r>
    </w:p>
    <w:p>
      <w:r>
        <w:t>L'art. 152 CP réprime le comportement de celui qui, en qualité de fondateur, titulaire, associé indéfiniment responsable, fondé de pouvoir, membre de l’organe de gestion, du conseil d’administration ou de l’organe de révision ou liquidateur d’une société commerciale, coopérative ou d’une autre entreprise exploitée en la forme commerciale aura donné ou fait donner, dans des communications au public ou dans des rapports ou propositions destinés à l’ensemble des associés d’une société commerciale ou coopérative ou aux participants à une autre entreprise exploitée en la forme commerciale, des renseignements faux ou incomplets d’une importance</w:t>
      </w:r>
    </w:p>
    <w:p>
      <w:r>
        <w:t>- 8/11 - P/15066/2017 considérable, susceptibles de déterminer autrui à disposer de son patrimoine de manière préjudiciable à ses intérêts pécuniaires. L'infraction peut être commise par omission improprement dite, lorsque l'auteur, en position de garant, garde le silence sur des éléments de faits précis qu'il est tenu de communiquer (M. DUPUIS / L. MOREILLON / C. PIGUET / S. BERGER / M. MAZOU / V. RODIGARI, Petit commentaire du CP, Bâle 2017, n. 19 ad art. 152).</w:t>
      </w:r>
    </w:p>
    <w:p>
      <w:r>
        <w:rPr>
          <w:b/>
        </w:rPr>
        <w:t>E. 3.4</w:t>
      </w:r>
    </w:p>
    <w:p>
      <w:r>
        <w:t>En l'espèce, il est établi à teneur du dossier, et non contesté, qu'au moment de la conclusion du contrat de cession le 2 octobre 2015, C______ et D______ ignoraient que le premier cité faisait l'objet d'une enquête pénale administrative. Celui-ci ne l'a appris qu'à réception de la convocation de l'AFD datée du</w:t>
      </w:r>
    </w:p>
    <w:p>
      <w:r>
        <w:rPr>
          <w:b/>
        </w:rPr>
        <w:t>E. 3.5</w:t>
      </w:r>
    </w:p>
    <w:p>
      <w:r>
        <w:t>Les conditions de l'art. 152 CP n'apparaissent à l'évidence pas réalisées non plus, les mis en cause n'ayant aucunement, au vu des circonstances retenues ci-dessus, donné des renseignements faux ou incomplets.</w:t>
      </w:r>
    </w:p>
    <w:p>
      <w:r>
        <w:t>- 9/11 - P/15066/2017</w:t>
      </w:r>
    </w:p>
    <w:p>
      <w:r>
        <w:rPr>
          <w:b/>
        </w:rPr>
        <w:t>E. 3.6</w:t>
      </w:r>
    </w:p>
    <w:p>
      <w:r>
        <w:t>Enfin, aucun acte d'instruction complémentaire n'apparait propre à modifier ce raisonnement et les recourantes n'en sollicitent d'ailleurs aucun. 4. Justifiée, l'ordonnance querellée sera donc confirmée.</w:t>
      </w:r>
    </w:p>
    <w:p>
      <w:r>
        <w:rPr>
          <w:b/>
        </w:rPr>
        <w:t>E. 5</w:t>
      </w:r>
    </w:p>
    <w:p>
      <w:r>
        <w:t>Les recourantes, qui succombent, supporteront conjointement et solidairement les frais envers l'État, qui seront fixés en totalité à CHF 1'000.- (art. 428 al. 1 CPP et 13 al. 1 du Règlement fixant le tarif des frais en matière pénale, RTFMP ; E 4 10.03). * * * * *</w:t>
      </w:r>
    </w:p>
    <w:p>
      <w:r>
        <w:t>- 10/11 - P/15066/2017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