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ACPR/542/2025 vom 20. Juni 2025</w:t>
      </w:r>
    </w:p>
    <w:p>
      <w:r>
        <w:t>GE Cour de justice, 2025-06-20, FR</w:t>
      </w:r>
    </w:p>
    <w:p>
      <w:r>
        <w:rPr>
          <w:b/>
        </w:rPr>
        <w:t xml:space="preserve">Quelle: </w:t>
      </w:r>
      <w:r>
        <w:t>https://mcp.opencaselaw.ch/entscheid/ge_gerichte_ACPR_542_2025</w:t>
      </w:r>
    </w:p>
    <w:p>
      <w:r>
        <w:t>FR: GE_GERICHTE ACPR/542/2025 du 20 juin 2025</w:t>
      </w:r>
    </w:p>
    <w:p>
      <w:r>
        <w:t>IT: GE_GERICHTE ACPR/542/2025 del 20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Invité à se déterminer sur le recours, le Ministère public n'a pas réagi dans le délai de trois jours lui ayant été imparti à cet effet, échéant au 7 juillet 2025, faute d'un accusé IncaMail confirmant la réception de ses observations dans ce délai (art. 91 al. 3 CPP). Lesdites observations, reçues le 8 juillet 2025 au greffe de la Chambre de céans, apparaissent ainsi tardives.</w:t>
      </w:r>
    </w:p>
    <w:p>
      <w:r>
        <w:rPr>
          <w:b/>
        </w:rPr>
        <w:t>E. 3</w:t>
      </w:r>
    </w:p>
    <w:p>
      <w:r>
        <w:t>Le recourant ne conteste pas l'existence de charges graves et suffisantes. Il n'y a donc pas lieu d'y revenir et il peut être intégralement renvoyé, en tant que besoin, à la motivation adoptée par le premier juge (art. 82 al. 4 CPP; ACPR/747/2020 du 22 octobre 2020 consid. 2 et les références), qui expose les indices graves et concordants pesant sur le prévenu.</w:t>
      </w:r>
    </w:p>
    <w:p>
      <w:r>
        <w:rPr>
          <w:b/>
        </w:rPr>
        <w:t>E. 4</w:t>
      </w:r>
    </w:p>
    <w:p>
      <w:r>
        <w:t>Les risques de fuite et de collusion n'ayant pas été retenus par le premier juge, il n'y a pas besoin de s'y pencher.</w:t>
      </w:r>
    </w:p>
    <w:p>
      <w:r>
        <w:t>- 8/12 - P/5048/2025</w:t>
      </w:r>
    </w:p>
    <w:p>
      <w:r>
        <w:rPr>
          <w:b/>
        </w:rPr>
        <w:t>E. 5</w:t>
      </w:r>
    </w:p>
    <w:p>
      <w:r>
        <w:t>Le recourant conteste tout risque de réitération. Il considère à tout le moins que celui- ci est minime et peut être pallié par des mesures de substitution appropriées.</w:t>
      </w:r>
    </w:p>
    <w:p>
      <w:r>
        <w:rPr>
          <w:b/>
        </w:rPr>
        <w:t>E. 5.1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présenter régulièrement à un service administratif (al. 2 let. d), d'avoir un travail régulier (al. 2 let. e) ou de se soumettre à un traitement médical ou à des contrôles (al. 2 let. f). La liste des mesures de substitution énoncée à l'art. 237 CPP n'est pas exhaustive (arrêt du Tribunal fédéral 1B_654/2011 du 7 décembre 2011 consid. 4.2).</w:t>
      </w:r>
    </w:p>
    <w:p>
      <w:r>
        <w:rPr>
          <w:b/>
        </w:rPr>
        <w:t>E. 5.3</w:t>
      </w:r>
    </w:p>
    <w:p>
      <w:r>
        <w:t>En l'espèce, le recourant a fait l'objet de huit condamnations entre 2017 et 2025, étant précisé que deux d'entre elles concernent des faits particulièrement graves puisqu'il a été condamné, le 29 juin 2023, notamment pour tentative de brigandage, puis le 20 décembre 2023, pour un délit contre la loi sur les armes. Quand bien même le recourant est poursuivi, dans le cadre de la présente procédure, pour un cambriolage et une contravention à la loi fédérale sur les stupéfiants, sa dépendance aux stupéfiants – qu'il ne remet au demeurant pas en cause –, combinée à son désœuvrement – étant ici rappelé qu'il est désormais sans occupation –, laissent redouter la commission d'actes plus graves, dans la continuité de ceux commis en 2023, le cas échéant avec une escalade de la violence ou une augmentation de la fréquence de ses agissements. Un tel constat s'impose d'autant plus que le recourant</w:t>
      </w:r>
    </w:p>
    <w:p>
      <w:r>
        <w:t>- 9/12 - P/5048/2025 n'a pas jugé bon de se conformer aux mesures de substitution ordonnées à son encontre, persistant, d'une part, à fuguer quotidiennement de H______, parfois même plusieurs fois par jour, ceci quand bien même son attention avait expressément été attirée sur les conséquences du non-respect des mesures en place – un rappel, dont rien, hormis ses dénégations, n'indique qu'il n'en ait pas eu connaissance, lui ayant d'ailleurs été adressé le 6 juin 2025 –, et, d'autre part, à consommer des stupéfiants. De tels éléments sont aptes à fonder un risque de récidive simple au sens de l'art. 221 al. 1 let. c CPP. C'est d'ailleurs précisément afin d'évaluer l'intensité de ce risque – lequel est susceptible d'être exacerbé par la consommation de stupéfiants du recourant – et de déterminer les mesures aptes à le pallier, que le Ministère public a ordonné une expertise psychiatrique. Aucune des mesures de substitution proposées par le recourant n'entre en ligne de compte en l'état, ni aucune autre d'ailleurs, étant relevé que les médecins ayant pris en charge le recourant à H______ ont constaté l'échec des mesures en place et préconisé la fin de son séjour hospitalier. L'alternative envisagée par ces professionnels de la santé, consistant en un "retour dans la communauté avec un suivi ambulatoire" ne parait guère envisageable à ce stade au vu de l'attitude ambivalente du recourant, lequel n'est par ailleurs pas enclin à prendre ses soins addictologiques et à s'abstenir de consommer. Au vu de ce qui précède, il y a lieu d'attendre le résultat de l'expertise psychiatrique ordonnée par le Ministère public qui, seule, permettra d'évaluer l'intensité du risque de récidive et, le cas échéant, énoncer les mesures aptes à le pallier.</w:t>
      </w:r>
    </w:p>
    <w:p>
      <w:r>
        <w:rPr>
          <w:b/>
        </w:rPr>
        <w:t>E. 6</w:t>
      </w:r>
    </w:p>
    <w:p>
      <w:r>
        <w:t>Le recourant demande, subsidiairement, que sa mise en détention provisoire n'excède pas un mois.</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(ATF 133 I 270 consid. 3.4.2 p. 281-282; 125 I 60; arrêts du Tribunal fédéral 1B_750/2012 du 16 janvier 2013 consid. 2, 1B_624/2011 du 29 novembre 2011 consid. 3.1 et 1B_9/2011 du 7 février 2011 consid. 7.2).</w:t>
      </w:r>
    </w:p>
    <w:p>
      <w:r>
        <w:rPr>
          <w:b/>
        </w:rPr>
        <w:t>E. 6.2</w:t>
      </w:r>
    </w:p>
    <w:p>
      <w:r>
        <w:t>En l'espèce, la durée de la détention provisoire ordonnée ne viole pas le principe de la proportionnalité, au vu de la peine concrètement encourue si le recourant devait être reconnu coupable des faits reprochés. La durée d'un mois est nécessaire à la finalisation de l'expertise psychiatrique en cours, étant précisé que le Ministère public devra encore entendre les experts, administrer le cas échéant les preuves que les parties pourraient être amenées à requérir, puis se déterminer sur la suite de la procédure.</w:t>
      </w:r>
    </w:p>
    <w:p>
      <w:r>
        <w:rPr>
          <w:b/>
        </w:rPr>
        <w:t>E. 7</w:t>
      </w:r>
    </w:p>
    <w:p>
      <w:r>
        <w:t>Le recours s'avère ainsi infondé et doit être rejeté.</w:t>
      </w:r>
    </w:p>
    <w:p>
      <w:r>
        <w:t>- 10/12 - P/5048/2025</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r>
        <w:t>- 11/12 - P/5048/2025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