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ACPR/540/2019 vom 7. März 2019</w:t>
      </w:r>
    </w:p>
    <w:p>
      <w:r>
        <w:t>GE Cour de justice, 2019-03-07, FR</w:t>
      </w:r>
    </w:p>
    <w:p>
      <w:r>
        <w:rPr>
          <w:b/>
        </w:rPr>
        <w:t xml:space="preserve">Quelle: </w:t>
      </w:r>
      <w:r>
        <w:t>https://mcp.opencaselaw.ch/entscheid/ge_gerichte_ACPR_540_2019</w:t>
      </w:r>
    </w:p>
    <w:p>
      <w:r>
        <w:t>FR: GE_GERICHTE ACPR/540/2019 du 7 mars 2019</w:t>
      </w:r>
    </w:p>
    <w:p>
      <w:r>
        <w:t>IT: GE_GERICHTE ACPR/540/2019 del 7 marzo 2019</w:t>
      </w:r>
    </w:p>
    <w:p>
      <w:pPr>
        <w:pStyle w:val="Heading2"/>
      </w:pPr>
      <w:r>
        <w:t>Erwägungen</w:t>
      </w:r>
    </w:p>
    <w:p>
      <w:r>
        <w:rPr>
          <w:b/>
        </w:rPr>
        <w:t>E. 1</w:t>
      </w:r>
    </w:p>
    <w:p>
      <w:r>
        <w:t>Le recours est recevable pour avoir été déposé selon la forme et dans le délai prescrits (385 al. 1 et 396 al. 1 CPP) - les formalités de notification (art. 85 al. 2 CPP) n'ayant pas été observées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reprochent au Ministère public de ne pas avoir retenu la compétence des autorités suisses.</w:t>
      </w:r>
    </w:p>
    <w:p>
      <w:r>
        <w:rPr>
          <w:b/>
        </w:rPr>
        <w:t>E. 3.1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 Petit commentaire, Bâle 2016, n. 13 ad art. 310).</w:t>
      </w:r>
    </w:p>
    <w:p>
      <w:r>
        <w:rPr>
          <w:b/>
        </w:rPr>
        <w:t>E. 3.2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3.2.1</w:t>
      </w:r>
    </w:p>
    <w:p>
      <w:r>
        <w:t>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arrêts du Tribunal fédéral 6B_251/2012 du 2 octobre 2012 consid. 1.3). S'agissant de délits commis par le biais d'internet, le lieu de l'acte, et ainsi le for, est localisé au lieu où se trouve l'auteur au moment d'effectuer les manipulations</w:t>
      </w:r>
    </w:p>
    <w:p>
      <w:r>
        <w:t>- 6/11 - P/11896/2017</w:t>
      </w:r>
    </w:p>
    <w:p>
      <w:r>
        <w:t>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Bâle 2017, n. 17 ad art. 8 et les références citées).</w:t>
      </w:r>
    </w:p>
    <w:p>
      <w:r>
        <w:rPr>
          <w:b/>
        </w:rPr>
        <w:t>E. 3.2.2</w:t>
      </w:r>
    </w:p>
    <w:p>
      <w:r>
        <w:t>Le Tribunal fédéral a abandonné l'assimilation des délits contre l'honneur à une infraction de résultat dans un arrêt non publié du 24 décembre 1998. La prise de connaissance par des tiers est certes nécessaire pour que l'infraction soit consommée, mais elle ne s'inscrit pas comme un résultat au sens technique, principe en vertu duquel les propos attentatoires à l'honneur contenus et imprimés dans un journal étranger ne sont pas soumis à la juridiction suisse en application de l'art. 8 al. 1 CP, bien que le journal soit également diffusé en Suisse et qu'on puisse y prendre connaissance des propos incriminés (ATF non publié du 24 décembre 1998 auquel se réfère l'ATF 125 IV 177 consid. 2b p. 181 s. = JdT 2003 IV 138). Suivant la doctrine, il convient toutefois de relativiser la portée de la classification typologique des infractions et d'admettre un rattachement territorial fondé sur le lieu de survenance du résultat également en matière de délits formels et de délits de mise en danger abstraite (ATF 141 IV 336 consid. 1.2 p. 339; M. DUPUIS / L. MOREILLON / C. PIGUET / S. BERGER / M. MAZOU / V. RODIGARI (éds), op.cit., n. 14 ad art. 8 et les références citées). Au-delà des controverses doctrinales quant à la nature de délit matériel ou formel qui subsistent à propos des infractions contre l'honneur, il est nécessaire de disposer de critères adéquats permettant de déterminer dans quelle mesure la compétence des autorités pénales suisses doit être admise lorsque des propos diffamatoires ou calomnieux, bien que tenus à l'étranger, sont rendus accessibles en Suisse par des moyens de communications à portée universelle tels que les procédés de transmission par internet. S'agissant du lieu de survenance du résultat des délits commis par internet, la doctrine et les juridictions cantonales sont d'avis que,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w:t>
      </w:r>
    </w:p>
    <w:p>
      <w:r>
        <w:t>- 7/11 - P/11896/2017</w:t>
      </w:r>
    </w:p>
    <w:p>
      <w:r>
        <w:t>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l'art. 173 et 174 CP) ne saurait ainsi fonder à lui seul la compétence des autorités suisses (ACAS/66/04 précité ; ACPR/470/2017 du 11 juillet 2017 consid. 5.1). 3.3.1 En l'espèce, le reportage intitulé "le Syndicat E______" a été produit et réalisé à l'étranger, puis diffusé sur un site internet américain, de sorte que la compétence des autorités suisses n'est pas donnée, conformément au principe de la territorialité, à raison du lieu de commission de l'infraction à l'étranger. Il convient donc de déterminer si, au vu des principes jurisprudentiels sus-visés, les auteurs de la vidéo ont précisément voulu porter les informations litigieuses à la connaissance de tiers en Suisse. Les propos litigieux ont été tenus à l'étranger et publiés uniquement sur le site internet L______.com, une entreprise ayant son siège social aux Etats-Unis et n'ayant pas de lien avec la Suisse. Ce reportage étant accessible depuis le monde entier, par toute personne disposant d'une connexion internet, il n'est pas possible de conclure, sans autres éléments, qu'il était destiné au public suisse. Le fait qu'une version française de la vidéo ait été mise en ligne ne constitue pas un indice suffisant pour admettre que ses auteurs auraient précisément voulu porter les informations litigieuses à la connaissance de tiers francophones en Suisse. Tout d'abord, si les auteurs visaient les autorités et la population suisse dans son ensemble, comme l'allèguent les recourants - qui s'estiment victimes d'une conspiration à l'échelle</w:t>
      </w:r>
    </w:p>
    <w:p>
      <w:r>
        <w:t>- 8/11 - P/11896/2017</w:t>
      </w:r>
    </w:p>
    <w:p>
      <w:r>
        <w:t>nationale des autorités O______ intervenant jusqu'au plus haut niveau politique suisse - il est fort probable que le reportage aurait également été publié en allemand. Le fait que la version française n'ait été vue que par un nombre très limité de personnes est un indice supplémentaire tendant à démontrer que le public francophone suisse n'était pas principalement visé par les auteurs, la version anglaise ayant quant à elle été visionnée par un nombre bien plus grand de personnes. La vidéo n'a en outre fait l'objet d'aucun commentaire ni en français ni en allemand, ce qui aurait pu constituer un indice que quelqu'un aurait entendu, en Suisse, les propos litigieux. En outre, il est plus vraisemblable de penser que la version traduite en français s'adressait à la population française, étant donné que le sujet du reportage était G______, alors détenu en France dans l'attente d'une décision des autorités françaises sur les demandes d'extradition déposées par l'Ukraine et la Russie. Le fait que certaines images aient été filmées à Genève ne permet pas non plus de supposer que le public cible de la vidéo était la population suisse. En effet, le reportage a principalement été tourné dans d'autres pays et relate les propos d'intervenants étrangers. S'agissant du court passage tourné à Genève, E______ y explique s'y être rendu dans le but d'interviewer le représentant de la République centrafricaine auprès de l'ONU, afin d'obtenir des informations sur la procédure d'obtention de passeports diplomatiques centrafricains en tant que ressortissant O______, thématique qui n'a pas de lien direct avec la Suisse ni de raisons d'intéresser la population suisse. Le seul véritable lien entre les faits dénoncés et la Suisse est, par conséquent, le domicile des recourants dans ce pays, élément qui ne peut pas, à lui seul, fonder la compétence des autorités suisses. 3.3.2 Il en va de même des articles publiés sur le site J______, dont le contenu, notamment le fait qu'ils se réfèrent à des actes prétendument commis par les recourants sur le territoire suisse, n'est pas, comme développé précédemment, un indice suffisant pour établir la compétence des autorités suisses. L'analyse du taux de fréquentation n'indique rien d'autre que le fait que les articles étaient effectivement accessibles et consultés en Suisse, comme dans de nombreux autres pays. En revanche, cet élément ne donne aucune information sur la volonté initiale de l'auteur ni de celle des responsables du site quant au public spécifiquement visé par les publications litigieuses. C'est ainsi en vain que les recourants se réfèrent à l'arrêt 6B_268/2018 du 17 décembre 2018 consid. 6.2.2, la situation n'étant pas comparable. En effet, la compétence des autorités suisses en cas de publication de messages sur des sites internet - en l'occurrence celui de N______ - y a été reconnue en raison d'un lien clair avec la Suisse, ce qui n'est pas le cas du site internet incriminé par les recourants. Les autorités judiciaires pénales suisses, respectivement genevoises, ne sont donc pas compétentes pour poursuivre les infractions dénoncées par les recourants.</w:t>
      </w:r>
    </w:p>
    <w:p>
      <w:r>
        <w:t>- 9/11 - P/11896/2017</w:t>
      </w:r>
    </w:p>
    <w:p>
      <w:r>
        <w:t>Il en résulte ainsi un empêchement de procéder, au sens de l'art. 310 al. 1 let. b CPP.</w:t>
      </w:r>
    </w:p>
    <w:p>
      <w:r>
        <w:rPr>
          <w:b/>
        </w:rPr>
        <w:t>E. 4</w:t>
      </w:r>
    </w:p>
    <w:p>
      <w:r>
        <w:t>Justifiée, l'ordonnance querellée sera donc confirmée</w:t>
      </w:r>
    </w:p>
    <w:p>
      <w:r>
        <w:rPr>
          <w:b/>
        </w:rPr>
        <w:t>E. 5</w:t>
      </w:r>
    </w:p>
    <w:p>
      <w:r>
        <w:t>Les recourants, qui succombent, supporteront les frais envers l'État, fixés en totalité à CHF 3'000.- (art. 428 al. 1 CPP et 13 al. 1 du Règlement fixant le tarif des frais en matière pénale, RTFMP ; E 4 10.03), lequel sera prélevé sur les sûretés versées. * * * * *</w:t>
      </w:r>
    </w:p>
    <w:p>
      <w:r>
        <w:t>- 10/11 - P/11896/2017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