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ACPR/53/2019 vom 30. Oktober 2018</w:t>
      </w:r>
    </w:p>
    <w:p>
      <w:r>
        <w:t>GE Cour de justice, 2018-10-30, FR</w:t>
      </w:r>
    </w:p>
    <w:p>
      <w:r>
        <w:rPr>
          <w:b/>
        </w:rPr>
        <w:t xml:space="preserve">Quelle: </w:t>
      </w:r>
      <w:r>
        <w:t>https://mcp.opencaselaw.ch/entscheid/ge_gerichte_ACPR_53_2019</w:t>
      </w:r>
    </w:p>
    <w:p>
      <w:r>
        <w:t>FR: GE_GERICHTE ACPR/53/2019 du 30 octobre 2018</w:t>
      </w:r>
    </w:p>
    <w:p>
      <w:r>
        <w:t>IT: GE_GERICHTE ACPR/53/2019 del 30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l'automobiliste avait délibérément pris le risque de la blesser gravement, voire simplement, à tout le moins par dol éventuel.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t>- 5/9 - P/12899/2018 3.1.2.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3.2.1.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180 jours-amende au moins. 3.2.2. Selon l'art. 12 al. 2 CP, agit intentionnellement quiconque commet un crime ou un délit avec conscience et volonté. Déterminer ce qu'une personne a su, envisagé, voulu ou accepté relève du contenu de sa pensée, à savoir de faits "internes", partant, des constatations de fait (ATF 141 IV 369 consid. 6.3 p. 375 et les références citées).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w:t>
      </w:r>
    </w:p>
    <w:p>
      <w:r>
        <w:t>- 6/9 - P/12899/2018 acceptation de ce risque (ATF 137 IV 1 consid. 4.2.3 p. 4; 133 IV 222 consid. 5.3 p. 226). 3.2.3.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p. 20; arrêts 6B_1050/2017 du 20 décembre 2017 consid. 1.3.2; 6B_863/2017 du 27 novembre 2017 consid. 2.3). En outre, par sa manière risquée de conduire, un conducteur peut devenir sa propre victime. C'est pourquoi, en cas de conduite dangereuse, par exemple en cas de manoeuvre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p. 64 s.; arrêts 6B_1050 précité consid. 1.3.2; 6B_863/2017 précité consid. 2.3; arrêt du Tribunal fédéral 6B_987/2017 du 12 février 2018).</w:t>
      </w:r>
    </w:p>
    <w:p>
      <w:r>
        <w:rPr>
          <w:b/>
        </w:rPr>
        <w:t>E. 3.3</w:t>
      </w:r>
    </w:p>
    <w:p>
      <w:r>
        <w:t>En l'espèce, il ressort des photos accompagnant la plainte, des informations photographiques accessibles par internet et du parcours emprunté par l'automobiliste, non contesté, que celle-ci a dû effectuer un tour quasi complet d'un giratoire, en tournant ainsi sur sa gauche, avant de tourner aussitôt sur sa droite pour franchir un trottoir et accéder à la rampe descendante conduisant à son parking. Dans ces circonstances, il n'est pas vraisemblable qu'elle ait pu objectivement circuler à grande vitesse - l'appréciation subjective de la vitesse par un piéton surpris laissant une grande marge de surestimation quant à la vitesse effective - de sorte qu'un des éléments mis en avant par la recourante pour asseoir la thèse d'un comportement intentionnel fait défaut. À s'en tenir par ailleurs la jurisprudence relative à la commission d'un délit intentionnel par un automobiliste, il est insoutenable de considérer qu'une personne quasi-octogénaire ait délibérément roulé en direction de piétons en acceptant le risque et les conséquences de les heurter. La conductrice s'en défend et l'on ne voit pas quel acte d'instruction permettrait d'établir le contraire. Il n'est donc pas possible de retenir que la probabilité, connue par l'auteur, de la réalisation du risque et l'importance de la violation du devoir de prudence existeraient en l'occurrence. Il est peut-être vraisemblable que l'automobiliste n'a pas voué à la route et au déplacement des piétons toute l'attention dont elle aurait dû faire preuve, à tout le moins que son comportement a inquiété les piétons, et qu'elle s'est trouvée ainsi en délicatesse avec la loi sur la circulation routière, mais il n'est</w:t>
      </w:r>
    </w:p>
    <w:p>
      <w:r>
        <w:t>- 7/9 - P/12899/2018 nullement possible d'établir qu'elle aurait pu accepter le résultat lié à un choc envers eux et avoir commis un quelconque délit intentionnel.</w:t>
      </w:r>
    </w:p>
    <w:p>
      <w:r>
        <w:rPr>
          <w:b/>
        </w:rPr>
        <w:t>E. 4</w:t>
      </w:r>
    </w:p>
    <w:p>
      <w:r>
        <w:t>Il manque donc un élément constitutif des infractions en cause et l'ordonnance querellée doit par conséquent être confirmée.</w:t>
      </w:r>
    </w:p>
    <w:p>
      <w:r>
        <w:rPr>
          <w:b/>
        </w:rPr>
        <w:t>E. 5</w:t>
      </w:r>
    </w:p>
    <w:p>
      <w:r>
        <w:t>La recourante, qui succombe, supportera les frais envers l'État fixés en totalité à CHF 900.- (art. 428 al. 1 CPP et 13 al. 1 du Règlement fixant le tarif des frais en matière pénale, RTFMP ; E 4 10.03), incluant un émolument de décision. * * * * *</w:t>
      </w:r>
    </w:p>
    <w:p>
      <w:r>
        <w:t>- 8/9 - P/12899/2018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