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ACPR/537/2022 vom 18. Juli 2022</w:t>
      </w:r>
    </w:p>
    <w:p>
      <w:r>
        <w:t>GE Cour de justice, 2022-07-18, FR</w:t>
      </w:r>
    </w:p>
    <w:p>
      <w:r>
        <w:rPr>
          <w:b/>
        </w:rPr>
        <w:t xml:space="preserve">Quelle: </w:t>
      </w:r>
      <w:r>
        <w:t>https://mcp.opencaselaw.ch/entscheid/ge_gerichte_ACPR_537_2022</w:t>
      </w:r>
    </w:p>
    <w:p>
      <w:r>
        <w:t>FR: GE_GERICHTE ACPR/537/2022 du 18 juillet 2022</w:t>
      </w:r>
    </w:p>
    <w:p>
      <w:r>
        <w:t>IT: GE_GERICHTE ACPR/537/2022 del 18 luglio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116 Ia 143 consid. 3c).</w:t>
      </w:r>
    </w:p>
    <w:p>
      <w:r>
        <w:rPr>
          <w:b/>
        </w:rPr>
        <w:t>E. 2.2</w:t>
      </w:r>
    </w:p>
    <w:p>
      <w:r>
        <w:t>Le recourant conteste être l'auteur des infractions au patrimoine qui lui sont reprochées.</w:t>
      </w:r>
    </w:p>
    <w:p>
      <w:r>
        <w:rPr>
          <w:b/>
        </w:rPr>
        <w:t>E. 2.3</w:t>
      </w:r>
    </w:p>
    <w:p>
      <w:r>
        <w:t>Dans son précédent arrêt (ACPR/343/2022) du 13 mai 2022, la Chambre de céans a toutefois déjà eu l'occasion de retenir que les soupçons pesant sur le recourant se recoupaient sur plusieurs éléments – nom, adresse de livraison, numéro de raccordement – qui, pris individuellement, n'apparaissent pas convaincants, mais ensemble étaient suffisants à ce stade-là de la procédure. Depuis lors, les charges se sont aggravées, les éléments permettant de lier le prévenu aux commandes frauduleuses étant beaucoup plus précis (déclaration des employés de la poste, utilisation du passeport du prévenu, analyse du raccordement téléphonique). Le grief est rejeté.</w:t>
      </w:r>
    </w:p>
    <w:p>
      <w:r>
        <w:rPr>
          <w:b/>
        </w:rPr>
        <w:t>E. 3</w:t>
      </w:r>
    </w:p>
    <w:p>
      <w:r>
        <w:t>Le recourant conteste le risque de fuite.</w:t>
      </w:r>
    </w:p>
    <w:p>
      <w:r>
        <w:t>- 11/13 - P/22253/2021</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De nationalité guinéenne, le recourant n'a ni autorisation de travailler ni domicile ni famille en Suisse; il n'a pas répondu favorablement à la demande de la police de se présenter au poste et n'a été arrêté qu'à la suite d'un mandat en ce sens. Le risque est donc grand et concret que, dans la perspective du jugement à venir, il décide, pour échapper à l'éventuelle condamnation, de quitter la Suisse voire d'entrer dans la clandestinité. Que ses documents d'identité soient en mains du Procureur n'y change rien. C'est donc à bon droit que le risque de fuite a été retenu par l'autorité précédente.</w:t>
      </w:r>
    </w:p>
    <w:p>
      <w:r>
        <w:rPr>
          <w:b/>
        </w:rPr>
        <w:t>E. 4</w:t>
      </w:r>
    </w:p>
    <w:p>
      <w:r>
        <w:t>Le risque de fuite étant réalisé, l'autorité de recours peut se dispenser d'examiner si le risque de collusion et de réitération – alternatifs – le sont également (arrêt du Tribunal fédéral 1B_322/2019 du 17 juillet 2019 consid. 3.3 et la jurisprudence citée).</w:t>
      </w:r>
    </w:p>
    <w:p>
      <w:r>
        <w:rPr>
          <w:b/>
        </w:rPr>
        <w:t>E. 5.1</w:t>
      </w:r>
    </w:p>
    <w:p>
      <w:r>
        <w:t>Le principe de la proportionnalité implique que la détention provisoire soit en adéquation avec la gravité du délit et la sanction prévisible (ATF 142 IV 389 consid. 4.1).</w:t>
      </w:r>
    </w:p>
    <w:p>
      <w:r>
        <w:rPr>
          <w:b/>
        </w:rPr>
        <w:t>E. 5.2</w:t>
      </w:r>
    </w:p>
    <w:p>
      <w:r>
        <w:t>En l'espèce, la durée de la détention du recourant, qui a commencé le 14 février 2022, n’a pas franchi de seuil critique, au regard des infractions retenues contre lui.</w:t>
      </w:r>
    </w:p>
    <w:p>
      <w:r>
        <w:rPr>
          <w:b/>
        </w:rPr>
        <w:t>E. 6</w:t>
      </w:r>
    </w:p>
    <w:p>
      <w:r>
        <w:t>Le recours s'avère ainsi infondé et doit être rejeté.</w:t>
      </w:r>
    </w:p>
    <w:p>
      <w:r>
        <w:rPr>
          <w:b/>
        </w:rPr>
        <w:t>E. 7</w:t>
      </w:r>
    </w:p>
    <w:p>
      <w:r>
        <w:t>Le recourant, qui succombe, supportera les frais envers l'État, fixés en totalité à CHF 900.- (art. 428 al. 1 CPP et 13 al. 1 du Règlement fixant le tarif des frais en matière pénale, RTFMP ; E 4 10.03).</w:t>
      </w:r>
    </w:p>
    <w:p>
      <w:r>
        <w:rPr>
          <w:b/>
        </w:rPr>
        <w:t>E. 8</w:t>
      </w:r>
    </w:p>
    <w:p>
      <w:r>
        <w:t>Le recourant est au bénéfice d'une défense d'office. Cependant, l'avocat nommé n'a pas fourni de prestation justifiant une indemnité pour la procédure de recours. * * * * *</w:t>
      </w:r>
    </w:p>
    <w:p>
      <w:r>
        <w:t>- 12/13 - P/22253/2021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