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ACPR/536/2022 vom 4. Januar 2022</w:t>
      </w:r>
    </w:p>
    <w:p>
      <w:r>
        <w:t>GE Cour de justice, 2022-01-04, FR</w:t>
      </w:r>
    </w:p>
    <w:p>
      <w:r>
        <w:rPr>
          <w:b/>
        </w:rPr>
        <w:t xml:space="preserve">Quelle: </w:t>
      </w:r>
      <w:r>
        <w:t>https://mcp.opencaselaw.ch/entscheid/ge_gerichte_ACPR_536_2022</w:t>
      </w:r>
    </w:p>
    <w:p>
      <w:r>
        <w:t>FR: GE_GERICHTE ACPR/536/2022 du 4 janvier 2022</w:t>
      </w:r>
    </w:p>
    <w:p>
      <w:r>
        <w:t>IT: GE_GERICHTE ACPR/536/2022 del 4 gennaio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- 6/8 - P/9134/2020</w:t>
      </w:r>
    </w:p>
    <w:p>
      <w:r>
        <w:rPr>
          <w:b/>
        </w:rPr>
        <w:t>E. 2</w:t>
      </w:r>
    </w:p>
    <w:p>
      <w:r>
        <w:t>Il n'y a pas place pour des conclusions constatatoires là où, comme en l'espèce, des conclusions formatrices sont possibles (ACPR/94/2022 du 10 février 2022 consid. 3 et les références). Il n’y a donc pas à "constater" une violation de l'art. 6 CEDH et de l'irrégularité de la notification de l'ordonnance pénale du 17 mars 2021.</w:t>
      </w:r>
    </w:p>
    <w:p>
      <w:r>
        <w:rPr>
          <w:b/>
        </w:rPr>
        <w:t>E. 3</w:t>
      </w:r>
    </w:p>
    <w:p>
      <w:r>
        <w:t>Le recourant allègue n'avoir pas reçu l'ordonnance pénale.</w:t>
      </w:r>
    </w:p>
    <w:p>
      <w:r>
        <w:rPr>
          <w:b/>
        </w:rPr>
        <w:t>E. 3.1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parce qu'elle est tardive (cf. ATF 142 IV 201 consid. 2.2), le tribunal de première instance n'entre pas en matière (cf. Message du 21 décembre 2005 relatif à l'unification de la procédure pénale, FF 2006 1275 ad art. 360). En d'autres termes, le bien-fondé de la contestation n'est pas examiné.</w:t>
      </w:r>
    </w:p>
    <w:p>
      <w:r>
        <w:rPr>
          <w:b/>
        </w:rPr>
        <w:t>E. 3.2</w:t>
      </w:r>
    </w:p>
    <w:p>
      <w:r>
        <w:t>Les autorités pénales notifient leurs prononcés par lettre signature ou par tout autre mode de communication impliquant un accusé de réception, notamment par l'entremise de la police (art. 85 al. 2 CPP).</w:t>
      </w:r>
    </w:p>
    <w:p>
      <w:r>
        <w:rPr>
          <w:b/>
        </w:rPr>
        <w:t>E. 3.3</w:t>
      </w:r>
    </w:p>
    <w:p>
      <w:r>
        <w:t>L'art. 87 CPP précise que toute communication doit être notifiée au domicile, au lieu de résidence habituelle ou au siège du destinataire (al. 1). L'art. 87 al. 1 CPP n'interdit pas à une partie d'indiquer aux autorités judiciaires une autre adresse que celles mentionnées dans cette disposition et, dès lors que le destinataire a le droit d'indiquer une autre adresse de notification que son domicile ou sa résidence habituelle, il a le droit que les notifications se fassent à l'adresse ainsi communiquée; la notification à l'adresse personnelle de l'intéressé est par conséquent irrégulière (ATF 139 IV 228 consid. 1.1. et 1.3 s. p. 231 s.).</w:t>
      </w:r>
    </w:p>
    <w:p>
      <w:r>
        <w:rPr>
          <w:b/>
        </w:rPr>
        <w:t>E. 3.4</w:t>
      </w:r>
    </w:p>
    <w:p>
      <w:r>
        <w:t>Le délai d'opposition pour attaquer une ordonnance notifiée irrégulièrement court par conséquent dès le jour où son destinataire a pu en prendre connaissance, dans son dispositif et ses motifs (ATF 139 IV 228 consid. 1.3; 102 Ib 91 consid. 3).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134 V 306 consid. 4.2; 107 Ia 72 consid. 4a; 102 Ib 91 consid. 3).</w:t>
      </w:r>
    </w:p>
    <w:p>
      <w:r>
        <w:rPr>
          <w:b/>
        </w:rPr>
        <w:t>E. 3.5</w:t>
      </w:r>
    </w:p>
    <w:p>
      <w:r>
        <w:t>En l'espèce, par deux fois le recourant a donné pour adresse de notification des actes de procédures l'adresse du foyer D______. Lors de l'évocation devant le Juge</w:t>
      </w:r>
    </w:p>
    <w:p>
      <w:r>
        <w:t>- 7/8 - P/9134/2020 des mineurs de sa résidence au foyer B______, il n'a pas été question d'adresse de notification ni, a fortiori, de révocation de son précédent choix. Ainsi, la notification de l'ordonnance pénale par le Ministère public à, de surcroit l'ancienne, adresse du foyer B______ a été faite à de manière irrégulière. Le recourant a sollicité le Ministère public de lui transmettre l'ordonnance pénale, ce qui n'a pas été fait; le Tribunal de police la lui a envoyée par courrier daté du 28 octobre 2021. L'opposition, formée préalablement à sa prise de connaissance du dispositif, n'est pas tardive.</w:t>
      </w:r>
    </w:p>
    <w:p>
      <w:r>
        <w:rPr>
          <w:b/>
        </w:rPr>
        <w:t>E. 4</w:t>
      </w:r>
    </w:p>
    <w:p>
      <w:r>
        <w:t>Le recours sera admis, l'ordonnance querellée sera annulée et la cause renvoyée à cette autorité pour qu'elle traite l'opposition.</w:t>
      </w:r>
    </w:p>
    <w:p>
      <w:r>
        <w:rPr>
          <w:b/>
        </w:rPr>
        <w:t>E. 5</w:t>
      </w:r>
    </w:p>
    <w:p>
      <w:r>
        <w:t>L'admission du recours ne donne pas lieu à la perception de frais (art. 428 al. 4 CPP).</w:t>
      </w:r>
    </w:p>
    <w:p>
      <w:r>
        <w:rPr>
          <w:b/>
        </w:rPr>
        <w:t>E. 6</w:t>
      </w:r>
    </w:p>
    <w:p>
      <w:r>
        <w:t>Le recourant, auquel l'assistance judiciaire a été refusée, conclut à des dépens pour l'activité déployée par son conseil pour la procédure préliminaire. Il n'appartient pas à la Chambre de céans de statuer sur cette question, la procédure n'étant pas terminée, le recourant n'étant à ce stade ni acquitté ni au bénéfice d'un classement (art. 429 al. 1 CPP).</w:t>
      </w:r>
    </w:p>
    <w:p>
      <w:r>
        <w:rPr>
          <w:b/>
        </w:rPr>
        <w:t>E. 7</w:t>
      </w:r>
    </w:p>
    <w:p>
      <w:r>
        <w:t>Il a par contre droit à une indemnité pour l'activité de son conseil dans le cadre du présent recours (art. 436 al. 2 CPP). Le temps annoncé de 7h pour la rédaction du recours paraît excessif; un montant de CHF 1'200.-, plus TVA à 7.7%, qui paraît raisonnable, sera alloué. * * * * *</w:t>
      </w:r>
    </w:p>
    <w:p>
      <w:r>
        <w:t>- 8/8 - P/9134/2020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