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ACPR/536/2018 vom 22. August 2018</w:t>
      </w:r>
    </w:p>
    <w:p>
      <w:r>
        <w:t>GE Cour de justice, 2018-08-22, FR</w:t>
      </w:r>
    </w:p>
    <w:p>
      <w:r>
        <w:rPr>
          <w:b/>
        </w:rPr>
        <w:t xml:space="preserve">Quelle: </w:t>
      </w:r>
      <w:r>
        <w:t>https://mcp.opencaselaw.ch/entscheid/ge_gerichte_ACPR_536_2018</w:t>
      </w:r>
    </w:p>
    <w:p>
      <w:r>
        <w:t>FR: GE_GERICHTE ACPR/536/2018 du 22 août 2018</w:t>
      </w:r>
    </w:p>
    <w:p>
      <w:r>
        <w:t>IT: GE_GERICHTE ACPR/536/2018 del 22 agosto 2018</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art. 363).</w:t>
      </w:r>
    </w:p>
    <w:p>
      <w:r>
        <w:t>- 5/8 - PM/861/2018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(art. 384 let. b, 385 al. 1, 390 al. 1 et 396 al. 1 CPP) et dans le délai (art. 396 al. 1 CPP) prescrits, par le condamné, qui a un intérêt juridiquement protégé à l'annulation ou à la modification de la décision attaquée (art. 382 al. 1 CPP).</w:t>
      </w:r>
    </w:p>
    <w:p>
      <w:r>
        <w:rPr>
          <w:b/>
        </w:rPr>
        <w:t>E. 2</w:t>
      </w:r>
    </w:p>
    <w:p>
      <w:r>
        <w:t>Le recourant reproche au TAPEM d'avoir refusé sa libération conditionnelle.</w:t>
      </w:r>
    </w:p>
    <w:p>
      <w:r>
        <w:rPr>
          <w:b/>
        </w:rPr>
        <w:t>E. 2.1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w:t>
      </w:r>
    </w:p>
    <w:p>
      <w:r>
        <w:t>- 6/8 - PM/861/2018 conditionnelle ou définitive, pour déterminer si l'on peut courir ce risque, il faut, non seulement, prendre en considération le degré de probabilité qu'une nouvelle infraction soit commise, mais également l'importance du bien qui serait alors menacé (ATF 125 IV 113 consid. 2a).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et 6A.34/2006 du 30 mai 2006 consid. 2.1; A. BAECHTOLD, Exécution des peines : l'exécution des peines et mesures concernant les adultes en Suisse, Berne 2008, p. 269, arrêts de la CPAR, AARP/309/2013 du 11 juin 2013 consid. 2.2.3 et AARP/14/2014 du 8 janvier 2014 consid. 2.2.3) ou dans un État tiers, ce qui est le cas, par exemple, pour le détenu étranger dont l'infraction est notamment liée à des problèmes d'intégration (A. BAECHTOLD, op. cit., p. 269 et 270; ACPR/252/2017 du 13 avril 2017 consid. 3.1).</w:t>
      </w:r>
    </w:p>
    <w:p>
      <w:r>
        <w:rPr>
          <w:b/>
        </w:rPr>
        <w:t>E. 2.2</w:t>
      </w:r>
    </w:p>
    <w:p>
      <w:r>
        <w:t>En l'espèce, la condition objective d'une libération conditionnelle est réalisée depuis le 22 août 2018. Les préavis de la Direction de la prison et du Ministère public sont favorables, mais pas celui du SAPEM. Si un comportement correct en détention constitue un élément favorable, il ne saurait, à lui seul, conduire à l'octroi d'une libération conditionnelle, de sorte qu'il y a lieu d'examiner le pronostic, à l'aune de critères jurisprudentiels sus-cités. En l'occurrence, le TAPEM a refusé l'octroi de la libération conditionnelle au recourant, au motif qu'il avait été condamné à cinq reprises depuis la libération conditionnelle, accordée en mai 2010, et qu'il ne présentait pas de projet concret. Ce constat, certes exact, apparaît toutefois excessif au vu du contexte. Le recourant a été mis au bénéfice d'une libération conditionnelle le 29 mai 2010 et n'a pas récidivé dans le délai d'épreuve. Il a ensuite été condamné à trois reprises, entre 2014 et 2016, pour des infractions à la Loi fédérale sur les étrangers. Or, l'interdiction d'entrée en Suisse ayant été levée en mai 2018 par les autorités fédérales, le recourant ne saurait, en l'état, présenter un pronostic défavorable pour ce type de comportement, qui ne sera plus constitutif, pour lui, d'une infraction. Les condamnations devant être prises en compte dans l'évaluation du pronostic sont, dès lors, intervenues en août 2017 (tentative de vol, dommages à la propriété et violation de domicile) et avril 2018 (infraction à l'art. 285 CP), soit respectivement sept et huit ans après la libération conditionnelle du recourant, de sorte qu'elles peuvent être relativisées à cet égard.</w:t>
      </w:r>
    </w:p>
    <w:p>
      <w:r>
        <w:t>- 7/8 - PM/861/2018 Certes, le recourant n'a pas de projet de réinsertion concret, puisqu'il n'a pas contacté d'employeur. Il est toutefois ressortissant d'un État voisin, où il peut être renvoyé – et souhaite d'ailleurs vivre –, et ses déclarations sur son hébergement, bien que non étayées, paraissent plausibles. Par conséquent, à l'instar du Ministère public, la Chambre de céans considère réalisées les conditions de l'art. 86 al. 1 CP, le pronostic, bien que mitigé, n'étant pas clairement défavorable s'agissant du risque de récidive. La libération conditionnelle sera toutefois ordonnée avec effet au jour de son renvoi effectif, le recourant étant démuni de pièce d'identité et, donc, en infraction sur le territoire suisse (art. 5 al. 1 let. a et 115 al. 1 let. a LÉtr).</w:t>
      </w:r>
    </w:p>
    <w:p>
      <w:r>
        <w:rPr>
          <w:b/>
        </w:rPr>
        <w:t>E. 3</w:t>
      </w:r>
    </w:p>
    <w:p>
      <w:r>
        <w:t>Fondé, le recours doit être admis et le jugement querellé annulé, la libération conditionnelle du recourant devant être prononcée, avec effet au jour du renvoi effectif de ce dernier en France, son pays d'origine.</w:t>
      </w:r>
    </w:p>
    <w:p>
      <w:r>
        <w:rPr>
          <w:b/>
        </w:rPr>
        <w:t>E. 4</w:t>
      </w:r>
    </w:p>
    <w:p>
      <w:r>
        <w:t>L'admission du recours ne donne pas lieu à la perception de frais (art. 428 al. 1 CPP). * * * * *</w:t>
      </w:r>
    </w:p>
    <w:p>
      <w:r>
        <w:t>- 8/8 - PM/861/2018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