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ACPR/535/2025 vom 10. Juni 2025</w:t>
      </w:r>
    </w:p>
    <w:p>
      <w:r>
        <w:t>GE Cour de justice, 2025-06-10, FR</w:t>
      </w:r>
    </w:p>
    <w:p>
      <w:r>
        <w:rPr>
          <w:b/>
        </w:rPr>
        <w:t xml:space="preserve">Quelle: </w:t>
      </w:r>
      <w:r>
        <w:t>https://mcp.opencaselaw.ch/entscheid/ge_gerichte_ACPR_535_2025</w:t>
      </w:r>
    </w:p>
    <w:p>
      <w:r>
        <w:t>FR: GE_GERICHTE ACPR/535/2025 du 10 juin 2025</w:t>
      </w:r>
    </w:p>
    <w:p>
      <w:r>
        <w:t>IT: GE_GERICHTE ACPR/535/2025 del 10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130 CPP, le prévenu doit avoir un défenseur lorsque la détention provisoire, y compris la durée de l’arrestation provisoire, a excédé 10 jours (let. a); lorsqu'il encourt une peine privative de liberté de plus d’un an, une mesure entraînant une privation de liberté ou une expulsion (let. b); lorsqu'en raison de son état physique ou psychique ou pour d’autres motifs, il ne peut pas suffisamment défendre ses intérêts dans la procédure et que ses représentants légaux ne sont pas en mesure de le faire (let. c); lorsque le ministère public intervient personnellement devant le tribunal de première instance ou la juridiction d’appel (let. d); et lorsqu'une procédure simplifiée est mise en œuvre (let. e).</w:t>
      </w:r>
    </w:p>
    <w:p>
      <w:r>
        <w:rPr>
          <w:b/>
        </w:rPr>
        <w:t>E. 3.2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25 juillet 2023 consid. 2.1.2).</w:t>
      </w:r>
    </w:p>
    <w:p>
      <w:r>
        <w:rPr>
          <w:b/>
        </w:rPr>
        <w:t>E. 3.2.1</w:t>
      </w:r>
    </w:p>
    <w:p>
      <w:r>
        <w:t>S'agissant de la difficulté objective de la cause, à l'instar de ce qu'elle a développé en rapport avec les chances de succès d'un recours, la jurisprudence impose de se demander si une personne raisonnable et de bonne foi, qui présenterait les mêmes</w:t>
      </w:r>
    </w:p>
    <w:p>
      <w:r>
        <w:t>- 6/10 - P/4208/2024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w:t>
      </w:r>
    </w:p>
    <w:p>
      <w:r>
        <w:rPr>
          <w:b/>
        </w:rPr>
        <w:t>E. 3.2.2</w:t>
      </w:r>
    </w:p>
    <w:p>
      <w:r>
        <w:t>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du Tribunal fédéral 7B_611/2023 du 20 décembre 2023 consid. 3.2.1; 7B_124/2023 précité).</w:t>
      </w:r>
    </w:p>
    <w:p>
      <w:r>
        <w:rPr>
          <w:b/>
        </w:rPr>
        <w:t>E. 3.2.3</w:t>
      </w:r>
    </w:p>
    <w:p>
      <w:r>
        <w:t>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(arrêts du Tribunal fédéral 1B_12/2020 du 24 janvier 2020 consid. 3.1 et 1B_374/2018 du 4 septembre 2018 consid. 2.1).</w:t>
      </w:r>
    </w:p>
    <w:p>
      <w:r>
        <w:rPr>
          <w:b/>
        </w:rPr>
        <w:t>E. 3.3</w:t>
      </w:r>
    </w:p>
    <w:p>
      <w:r>
        <w:t>Si, au cours de la procédure, le cas de défense obligatoire à l'origine de la défense d'office disparaît et qu'un autre cas de défense obligatoire ne s'est pas créé dans l'intervalle, la défense d'office est révoquée (art. 134 al. 1 CPP), sous réserve d'une requête du prévenu tendant à son maintien sur la base de l'art. 132 al. 1 let. b CPP (Y. JEANNERET/A. KUHN/C. PERRIER DEPEURSINGE (éds), Commentaire romand, Code de procédure pénale suisse, 2ème éd., Bâle 2019, n. 7 ad art. 134 CPP). Au cours de la procédure, la défense obligatoire prend naturellement fin dès que la condition qui l'a déclenchée s'avère ne plus être remplie, notamment en cas d'allègement des charges, par exemple suite à un classement partiel pour les faits les plus graves (Y. JEANNERET/A. KUHN/C. PERRIER DEPEURSINGE (éds), op. cit., n. 7a ad art. 134 CPP; M. NIGGLI/ M. HEER/ H. WIPRÄCHTIGER (éds), Basler Kommentar StPO/JStPO, 3ème éd., Bâle 2023, n. 3 ad art. 134).</w:t>
      </w:r>
    </w:p>
    <w:p>
      <w:r>
        <w:t>La révocation ne peut avoir d'effet rétroactif; elle n'intervient qu'ex nunc (Y. JEANNERET/A. KUHN/C. PERRIER DEPEURSINGE (éds), op. cit., n. 4a ad art. 134 CPP).</w:t>
      </w:r>
    </w:p>
    <w:p>
      <w:r>
        <w:rPr>
          <w:b/>
        </w:rPr>
        <w:t>E. 3.4</w:t>
      </w:r>
    </w:p>
    <w:p>
      <w:r>
        <w:t>En l'espèce, la recourante ne remet pas en cause le fait qu'elle ne se trouve plus dans la situation de défense obligatoire qui avait justifié la désignation d'un avocat d'office à l'époque.</w:t>
      </w:r>
    </w:p>
    <w:p>
      <w:r>
        <w:t>- 7/10 - P/4208/2024</w:t>
      </w:r>
    </w:p>
    <w:p>
      <w:r>
        <w:t>À la suivre, une défense d'office sous l'angle de l'art. 132 al. 1 let. b CPP se justifierait néanmoins. À tort.</w:t>
      </w:r>
    </w:p>
    <w:p>
      <w:r>
        <w:t>À la suite du classement partiel des faits reprochés, l'intéressée n'est désormais plus poursuivie que pour infractions à l'art. 115 al. 1 let. b et c LEI, soit pour séjour illégal et exercice d'une activité lucrative sans autorisation.</w:t>
      </w:r>
    </w:p>
    <w:p>
      <w:r>
        <w:t>Or, ces faits résiduels ne revêtent aucune complexité, tant en fait qu'en droit, même pour la prévenue, qui se décrit comme peu instruite et dépourvue de connaissances juridiques, ce d'autant qu'elle a déjà été condamnée à deux reprises par le passé pour ces deux mêmes infractions. Que ces condamnations aient été formalisées par des ordonnances pénales contre lesquelles elle n'a pas recouru ne rend pas la présente procédure plus complexe. Comme relevé par l'autorité intimée, elle pourra faire valoir ses arguments à l'audience de jugement.</w:t>
      </w:r>
    </w:p>
    <w:p>
      <w:r>
        <w:t>Elle pourra également à cette occasion bénéficier de la présence d'un interprète.</w:t>
      </w:r>
    </w:p>
    <w:p>
      <w:r>
        <w:t>Contrairement à ce qu'elle affirme, la révocation d'un sursis ne constitue pas une problématique juridique ardue nécessitant le concours d'un conseil.</w:t>
      </w:r>
    </w:p>
    <w:p>
      <w:r>
        <w:t>Enfin, il sera rappelé qu'aux termes de l'ordonnance pénale prononcée, dont le Tribunal de police est saisi, la recourante encourt une peine pécuniaire d'ensemble (soit révocation du sursis prononcé le 24 janvier 2019 compris) de 90 jours-amende, laquelle est en-deçà de la limite à partir de laquelle une affaire n'est pas de peu de gravité (art. 132 al. 3 CPP).</w:t>
      </w:r>
    </w:p>
    <w:p>
      <w:r>
        <w:t>En définitive, la cause ne présente pas de difficultés particulières nécessitant l'intervention d'un avocat rémunéré par l'État.</w:t>
      </w:r>
    </w:p>
    <w:p>
      <w:r>
        <w:t>Dans un dernier argument, la recourante prétend que la défense d'office devrait perdurer jusqu'à l'entrée en force du jugement, ce qui n'était pas encore le cas à ce jour.</w:t>
      </w:r>
    </w:p>
    <w:p>
      <w:r>
        <w:t>Si la défense d'office s'étend certes dès l'instant où les conditions de sa nomination sont réunies et jusqu'à l'entrée en force du jugement (L. MOREILLON / A. PAREIN- REYMOND, Petit commentaire du Code de procédure pénale, Bâle 2016, n. 2 ad art. 132), encore faut-il que dites conditions perdurent jusqu'à ce moment. Son prononcé ne vaut pas blanc-seing pour toute la durée de la procédure. Comme mentionné plus haut, la défense d'office doit être accordée aussi longtemps que subsistent les conditions qui ont incité la direction de la procédure à l'ordonner. S'il apparaît, en cours de procédure, que les conditions ne sont plus remplies, le mandat peut être restreint ou supprimé (art. 134 al. 1 CPP) (L. MOREILLON / A. PAREIN- REYMOND, op. cit., n. 2 ad art. 134).</w:t>
      </w:r>
    </w:p>
    <w:p>
      <w:r>
        <w:t>Au vu de ce qui précède, c'est donc à bon droit que le Tribunal de police a révoqué la défense d'office de la recourante.</w:t>
      </w:r>
    </w:p>
    <w:p>
      <w:r>
        <w:t>- 8/10 - P/4208/2024</w:t>
      </w:r>
    </w:p>
    <w:p>
      <w:r>
        <w:rPr>
          <w:b/>
        </w:rPr>
        <w:t>E. 4</w:t>
      </w:r>
    </w:p>
    <w:p>
      <w:r>
        <w:t>Justifiée, l'ordonnance querellée sera donc confirmée et le recours, rejeté.</w:t>
      </w:r>
    </w:p>
    <w:p>
      <w:r>
        <w:rPr>
          <w:b/>
        </w:rPr>
        <w:t>E. 5</w:t>
      </w:r>
    </w:p>
    <w:p>
      <w:r>
        <w:t>La recourante, qui succombe, supportera les frais envers l'État, fixés en totalité à CHF 800.-, compte tenu de sa situation financière, qui n'apparaît pas favorable (art. 428 al. 1 CPP et 13 al. 1 du Règlement fixant le tarif des frais en matière pénale, RTFMP ; E 4 10.03).</w:t>
      </w:r>
    </w:p>
    <w:p>
      <w:r>
        <w:rPr>
          <w:b/>
        </w:rPr>
        <w:t>E. 6</w:t>
      </w:r>
    </w:p>
    <w:p>
      <w:r>
        <w:t>Corrélativement, aucun dépens ne lui sera alloué (ATF 144 IV 207 consid. 1.8.2). * * * * *</w:t>
      </w:r>
    </w:p>
    <w:p>
      <w:r>
        <w:t>- 9/10 - P/4208/2024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