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ACPR/533/2020 vom 18. Februar 2020</w:t>
      </w:r>
    </w:p>
    <w:p>
      <w:r>
        <w:t>GE Cour de justice, 2020-02-18, FR</w:t>
      </w:r>
    </w:p>
    <w:p>
      <w:r>
        <w:rPr>
          <w:b/>
        </w:rPr>
        <w:t xml:space="preserve">Quelle: </w:t>
      </w:r>
      <w:r>
        <w:t>https://mcp.opencaselaw.ch/entscheid/ge_gerichte_ACPR_533_2020</w:t>
      </w:r>
    </w:p>
    <w:p>
      <w:r>
        <w:t>FR: GE_GERICHTE ACPR/533/2020 du 18 février 2020</w:t>
      </w:r>
    </w:p>
    <w:p>
      <w:r>
        <w:t>IT: GE_GERICHTE ACPR/533/2020 del 18 febbraio 2020</w:t>
      </w:r>
    </w:p>
    <w:p>
      <w:pPr>
        <w:pStyle w:val="Heading2"/>
      </w:pPr>
      <w:r>
        <w:t>Erwägungen</w:t>
      </w:r>
    </w:p>
    <w:p>
      <w:r>
        <w:rPr>
          <w:b/>
        </w:rPr>
        <w:t>E. 1</w:t>
      </w:r>
    </w:p>
    <w:p>
      <w:r>
        <w:t>Le recours est recevable pour avoir été déposé et mis en conformité dans les formes et délais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w:t>
      </w:r>
    </w:p>
    <w:p>
      <w:r>
        <w:t>- 5/9 - P/2577/2020 matériellement compétent de se prononcer (arrêt du Tribunal fédéral 6B_185/2016 du 20 novembre 2016 consid. 2.1.2 et les références).</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4.1</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4.2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w:t>
      </w:r>
    </w:p>
    <w:p>
      <w:r>
        <w:t>- 6/9 - P/2577/2020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4.3.1. En l'espèce, les parties ont fourni des versions contradictoires, le recourant alléguant que le mis en cause aurait menacé de le tuer, ce que ce dernier conteste fermement. Il reconnaît en revanche lui avoir dit, sous le coup de la colère, "qu'il allait foutre sa vie en l'air s'il n'arrivait pas à récupérer son cerveau". Il n'est ainsi pas établi que des menaces de mort aient été proférées, faute d'éléments probants au dossier. Quant aux propos que le mis en cause admet avoir tenus, outre le fait qu'ils sont incohérents, ils n'apparaissent pas être d'une gravité telle qu'ils puissent objectivement alarmer une personne de sensibilité moyenne, placée dans les mêmes circonstances. D'ailleurs, il ressort du rapport de renseignements que, lors de l'intervention de la police durant la soirée où les faits litigieux se sont produits, le recourant n'a pas allégué avoir été menacé de mort par le mis en cause mais s'est uniquement plaint de ne pas pouvoir accéder à son logement. Il n'a, pour le surplus, déposé plainte pour les faits allégués que 5 jours plus tard. En outre, ce n'est que dans le cadre de son recours qu'il soutient avoir, sur le moment uniquement, été effrayé par les propos tenus par le mis en cause, ce qui tend à démontrer qu'il n'était pas réellement et concrètement inquiet. S'il soutient, enfin, faire encore l'objet de menaces de la part du précité et craindre pour son intégrité, il n'étaye toutefois aucunement ses allégations. 4.3.2. Le recourant soutient encore que D______ lui aurait saisi le cou puis l'aurait violemment étranglé durant une quinzaine de minutes, lui causant des douleurs cervicales gauches et à la nuque ainsi que des problèmes de sommeil. Le mis en cause conteste quant à lui avoir fait preuve de violence physique. À cet égard, le constat médical produit par le recourant ne fait état d'aucun hématome, ni lésion visible. Il ne mentionne pas non plus que les douleurs cervicales et nucales constatées pourraient concorder avec la version relatée par le plaignant. Dans ce contexte, il apparaît peu vraisemblable qu'un étranglement – qui aurait duré, d'après les dires du recourant, une quinzaine de minutes – n'ait laissé aucune trace sur le cou de ce dernier ou ne l'ait pas fait perdre conscience. En tout état de cause, la pièce produite ne permet pas de démontrer que les douleurs sus-décrites auraient été causées par le mis en cause.</w:t>
      </w:r>
    </w:p>
    <w:p>
      <w:r>
        <w:t>- 7/9 - P/2577/2020 Ainsi, en l'absence d'éléments probants supplémentaires ou de témoins neutres susceptibles de corroborer l'une ou l'autre version des faits incriminés, les menaces de mort et les lésions corporelles simples, voire les voies de fait alléguées par le recourant ne peuvent être établies avec une vraisemblance suffisante. Aucune mesure d'instruction pertinente ne paraît, en outre, à même de modifier ce constat. Le recourant n'en propose d'ailleurs pas.</w:t>
      </w:r>
    </w:p>
    <w:p>
      <w:r>
        <w:rPr>
          <w:b/>
        </w:rPr>
        <w:t>E. 5</w:t>
      </w:r>
    </w:p>
    <w:p>
      <w:r>
        <w:t>Justifiée, l'ordonnance querellée sera donc confirmée.</w:t>
      </w:r>
    </w:p>
    <w:p>
      <w:r>
        <w:rPr>
          <w:b/>
        </w:rPr>
        <w:t>E. 6</w:t>
      </w:r>
    </w:p>
    <w:p>
      <w:r>
        <w:t>Le recourant, qui succombe, supportera les frais envers l'État, qui seront fixés en totalité à CHF 600.- (art. 428 al. 1 CPP et 13 al. 1 du Règlement fixant le tarif des frais en matière pénale, RTFMP ; E 4 10.03). * * * * *</w:t>
      </w:r>
    </w:p>
    <w:p>
      <w:r>
        <w:t>- 8/9 - P/2577/2020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