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ACPR/532/2025 vom 15. April 2025</w:t>
      </w:r>
    </w:p>
    <w:p>
      <w:r>
        <w:t>GE Cour de justice, 2025-04-15, FR</w:t>
      </w:r>
    </w:p>
    <w:p>
      <w:r>
        <w:rPr>
          <w:b/>
        </w:rPr>
        <w:t xml:space="preserve">Quelle: </w:t>
      </w:r>
      <w:r>
        <w:t>https://mcp.opencaselaw.ch/entscheid/ge_gerichte_ACPR_532_2025</w:t>
      </w:r>
    </w:p>
    <w:p>
      <w:r>
        <w:t>FR: GE_GERICHTE ACPR/532/2025 du 15 avril 2025</w:t>
      </w:r>
    </w:p>
    <w:p>
      <w:r>
        <w:t>IT: GE_GERICHTE ACPR/532/2025 del 15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ne remet pas en cause l'ordonnance de classement en tant qu'elle concerne le chef de viol (art. 190 aCP), dès lors qu'aucun argument visant à démontrer la réalisation de cette infraction n'est développé. Ce point n'apparaissant plus litigieux, il ne sera pas examiné plus avant dans le présent arrêt (art. 385 al. 1 let. a CPP).</w:t>
      </w:r>
    </w:p>
    <w:p>
      <w:r>
        <w:rPr>
          <w:b/>
        </w:rPr>
        <w:t>E. 4</w:t>
      </w:r>
    </w:p>
    <w:p>
      <w:r>
        <w:t>La recourante conteste le classement de l'infraction à l'art. 191 aCP.</w:t>
      </w:r>
    </w:p>
    <w:p>
      <w:r>
        <w:rPr>
          <w:b/>
        </w:rPr>
        <w:t>E. 4.1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w:t>
      </w:r>
    </w:p>
    <w:p>
      <w:r>
        <w:t>- 9/13 - P/19488/2023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4.2</w:t>
      </w:r>
    </w:p>
    <w:p>
      <w:r>
        <w:t>Enfreint l'art. 191 aCP, dans sa version en vigueur au moment des faits (art. 2 al. 2 CP a contrario), celui qui, sachant qu’une personne est incapable de discernement ou de résistance, en aura profité pour commettre sur elle l’acte sexuel, un acte analogue ou un autre acte d’ordre sexuel. Le but de l'art. 191 aCP est de protéger les personnes qui ne sont pas en état d'exprimer ou de manifester physiquement leur opposition à l'acte sexuel.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1er mai 2014 consid. 4.1.1). Il faut que la victime soit, au moment de l’acte, totalement incapable de discernement ou de résistance. Si l’inaptitude n’est que partielle, par exemple en raison d’un simple état d’ivresse, et non d’une intoxication grave, la victime n’est pas incapable de résistance (M. DUPUIS / L. MOREILLON / C. PIGUET / S. BERGER / M. MAZOU / V. RODIGARI (éds), Code pénal - Petit commentaire, 2e éd., Bale 2017, n. 11 ad. art. 191 et les références citées). Sur le plan subjectif, l'art. 191 aCP est une infraction intentionnelle. Il appartient au juge d'examiner avec soin si l'auteur avait vraiment conscience de l'état d'incapacité de la victime. Le dol éventuel suffit (arrêt du Tribunal fédéral 6B_762/2018 du 14 décembre 2018, consid. 2.2).</w:t>
      </w:r>
    </w:p>
    <w:p>
      <w:r>
        <w:rPr>
          <w:b/>
        </w:rPr>
        <w:t>E. 4.3</w:t>
      </w:r>
    </w:p>
    <w:p>
      <w:r>
        <w:t>En l'espèce, les parties livrent chacune une version – de l'acte sexuel entretenu et des circonstances dans lesquelles celui-ci s'est déroulé – en opposition l'une avec l'autre. En particulier, leurs déclarations sont contradictoires sur la question décisive du consentement de la recourante et de son état physique au moment des faits. La recourante soutient avoir été fortement alcoolisée et sous l'emprise de stupéfiants durant la soirée des faits litigieux et ne conserver aucun souvenir entre le moment où elle se trouvait en discothèque en compagnie du prévenu et celui où elle s'est réveillée dans son propre lit, aux côtés du prénommé, qui était en train de la pénétrer</w:t>
      </w:r>
    </w:p>
    <w:p>
      <w:r>
        <w:t>- 10/13 - P/19488/2023 vaginalement sans son consentement. Cette version est contestée par le prévenu, qui affirme que la recourante était consentante et consciente durant leur relation sexuelle. Le principe jurisprudentiel commandant qu'en cas de doute, particulièrement en cas d'actes perpétrés "entre quatre yeux",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Il n'est pas contesté que la recourante a consommé, de sa propre initiative, de l'alcool tout au long de la soirée des faits litigieux. Elle a également admis avoir, à cette occasion, consommé des stupéfiants (cocaïne, ecstasy ou MDMA). Elle n'a cependant fait l'objet d'aucun examen médical ou toxicologique à la suite des faits dénoncés, lesquels auraient été susceptibles de confirmer l'ampleur de son intoxication éventuelle. Cela étant, force est de constater qu'aucun élément objectif ne permet de conclure que la recourante se serait trouvée dans un état d'incapacité totale de résistance, que le prévenu aurait sciemment mis à profit pour lui imposer un rapport sexuel. La recourante, qui n'a pas été en mesure de quantifier précisément le nombre de verres qu'elle avait consommés ni le type de stupéfiants ingérés, a déduit, du seul fait qu'elle ne parvenait pas à se remémorer certains moments de la soirée, qu'elle avait probablement donné l'impression d'être dans un "état second". Or, il ne ressort d'aucune déclaration des protagonistes et témoins qu'elle aurait présenté des signes particulièrement manifestes d'ébriété ou de consommation de stupéfiants. Si D______ a reconnu que toutes deux avaient "bien bu" durant la soirée et qu'elles étaient sans doute "pas mal ivres", elle a toutefois indiqué ne pas se souvenir de l'état d'ébriété précis de la recourante, ni d'un quelconque évènement marquant la concernant survenu au cours de la soirée. Quant au prévenu, il ne ressort pas de ses déclarations qu'il aurait constaté chez la recourante des signes extérieurs d'ébriété. Il l'a décrite comme "joyeuse", "présente" et "chaude", précisant qu'elle l'aurait invité à la suivre dans sa chambre et lui aurait indiqué une commode où trouver des préservatifs. Aussi, et même à supposer que la recourante se soit effectivement trouvée dans un état d'incapacité totale de discernement et de résistance et, partant, que la première condition d'application de l'art. 191 aCP soit réalisée, encore faudrait-il que le prévenu en ait eu conscience et qu'il en ait sciemment profité. Or, tel ne paraît pas être le cas, selon les propres déclarations de la recourante.</w:t>
      </w:r>
    </w:p>
    <w:p>
      <w:r>
        <w:t>- 11/13 - P/19488/2023 Celle-ci a été en mesure de relater avec précision plusieurs éléments de la soirée, notamment des échanges verbaux avec le prévenu – survenus en discothèque, mais également dans sa chambre, où elle affirme lui avoir expressément signifié, avant de s'endormir, son refus d'entretenir un rapport sexuel avec lui –, et cela près de douze ans après les faits. Elle a également été capable de se souvenir de l'état d'ivresse du prévenu, expliquant que ce dernier lui semblait "plus sobre" qu'elle. Ces éléments tendent à infirmer la thèse selon laquelle elle se serait trouvée en état d'incapacité totale de résistance en raison de son endormissement et/ou d'une consommation excessive d'alcool ou de stupéfiants, qui plus est de manière apparente pour le prévenu. À cet égard, elle a d'ailleurs indiqué qu'à l'issue de l'acte, l'intéressé lui aurait demandé, sur un ton "amusé", si cela "lui avait plu" ou si elle avait "aimé", ce qui suggère qu'il n'aurait pas eu, à tout le moins, conscience d'une incapacité totale de discernement et de résistance. Ainsi, hormis certaines des déclarations contraires de la recourante, le dossier ne recèle aucun indice concret laissant à penser que le prévenu se serait livré sur elle à un acte d'ordre sexuel alors qu'elle aurait été inconsciente. Une incapacité de résistance, de surcroît, perceptible par le prévenu, au sens de l'art. 191 aCP, n'apparait ainsi pas probable. Il s'ensuit qu'un acquittement apparaît bien plus vraisemblable qu'une condamnation, de sorte que le Ministère public était fondé à classer la procédure. Aucun acte d'instruction ne paraît susceptible de modifier cette appréciation et la recourante n'en requiert pas, d'ailleurs.</w:t>
      </w:r>
    </w:p>
    <w:p>
      <w:r>
        <w:rPr>
          <w:b/>
        </w:rPr>
        <w:t>E. 5</w:t>
      </w:r>
    </w:p>
    <w:p>
      <w:r>
        <w:t>Justifiée, l'ordonnance querellée sera donc confirmée.</w:t>
      </w:r>
    </w:p>
    <w:p>
      <w:r>
        <w:rPr>
          <w:b/>
        </w:rPr>
        <w:t>E. 6</w:t>
      </w:r>
    </w:p>
    <w:p>
      <w:r>
        <w:t>La recourante, qui succombe, supportera les frais envers l'État, qui seront fixés en totalité à CHF 1'200.- (art. 428 al. 1 CPP et 13 al. 1 du Règlement fixant le tarif des frais en matière pénale, RTFMP ; E 4 10.03). * * * * *</w:t>
      </w:r>
    </w:p>
    <w:p>
      <w:r>
        <w:t>- 12/13 - P/19488/2023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