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ACPR/532/2019 vom 5. März 2019</w:t>
      </w:r>
    </w:p>
    <w:p>
      <w:r>
        <w:t>GE Cour de justice, 2019-03-05, FR</w:t>
      </w:r>
    </w:p>
    <w:p>
      <w:r>
        <w:rPr>
          <w:b/>
        </w:rPr>
        <w:t xml:space="preserve">Quelle: </w:t>
      </w:r>
      <w:r>
        <w:t>https://mcp.opencaselaw.ch/entscheid/ge_gerichte_ACPR_532_2019</w:t>
      </w:r>
    </w:p>
    <w:p>
      <w:r>
        <w:t>FR: GE_GERICHTE ACPR/532/2019 du 5 mars 2019</w:t>
      </w:r>
    </w:p>
    <w:p>
      <w:r>
        <w:t>IT: GE_GERICHTE ACPR/532/2019 del 5 marzo 2019</w:t>
      </w:r>
    </w:p>
    <w:p>
      <w:pPr>
        <w:pStyle w:val="Heading2"/>
      </w:pPr>
      <w:r>
        <w:t>Erwägungen</w:t>
      </w:r>
    </w:p>
    <w:p>
      <w:r>
        <w:rPr>
          <w:b/>
        </w:rPr>
        <w:t>E. 1</w:t>
      </w:r>
    </w:p>
    <w:p>
      <w:r>
        <w:t>Le recours a été déposé dans le délai prescrit – les formalités de notification (art. 85 al. 2 CPP) n'ayant pas été observées – (art.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fait uniquement grief au Ministère public de ne pas être entré en matière sur sa plainte pénale pour dommage à la propriété.</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et les références citées). Le principe "in dubio pro duriore" découle du principe de la légalité (art. 5 al. 1 Cst. et 2 al. 2 CPP en relation avec les art. 19 al. 1 et 324 CPP; ATF 138 IV 86 consid. 4.2;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ATF 137 IV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 Des motifs juridiques peuvent justifier la non-entrée en matière. La question de savoir si les faits qui sont portés à sa connaissance constituent une infraction à la loi pénale doit être examinée d'office par le ministère public. Des motifs juridiques de</w:t>
      </w:r>
    </w:p>
    <w:p>
      <w:r>
        <w:t>- 7/10 - P/971/2019 non-entrée en matière existent lorsqu'il apparaît d'emblée que le comportement dénoncé n'est pas punissable (A. KUHN / Y. JEANNERET (éds), Commentaire romand : Code de procédure pénale suisse, Bâle 2011, n. 10 ad art. 310). Une non-entrée en matière s'impose également lorsque le litige est de nature purement civile (ATF 137 IV 285 consid. 2.3 p. 287).</w:t>
      </w:r>
    </w:p>
    <w:p>
      <w:r>
        <w:rPr>
          <w:b/>
        </w:rPr>
        <w:t>E. 3.2</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w:t>
      </w:r>
    </w:p>
    <w:p>
      <w:r>
        <w:t>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 arrêt du Tribunal fédéral 6B_839/2015 du 26 août 2016 consid. 6.1).</w:t>
      </w:r>
    </w:p>
    <w:p>
      <w:r>
        <w:rPr>
          <w:b/>
        </w:rPr>
        <w:t>E. 4.1</w:t>
      </w:r>
    </w:p>
    <w:p>
      <w:r>
        <w:t>L'art. 144 al. 1 CP punit, sur plainte, celui qui aura endommagé, détruit ou mis hors d'usage une chose appartenant à autrui ou frappée d'un droit d'usage ou d'usufruit au bénéfice d'autrui. Le dommage à la propriété est une infraction intentionnelle, en ce sens que l'auteur doit avoir conscience, au moins sous la forme du dol éventuel, de porter atteinte à une chose appartenant à autrui, une erreur sur les faits étant cependant concevable (ATF 116 IV 145 c. b.), les dommages causés par négligence n'étant pas punissables.</w:t>
      </w:r>
    </w:p>
    <w:p>
      <w:r>
        <w:rPr>
          <w:b/>
        </w:rPr>
        <w:t>E. 4.2</w:t>
      </w:r>
    </w:p>
    <w:p>
      <w:r>
        <w:t>En l'espèce, si le recourant estime avoir démontré par pièces que la villa sise à ______ (GE) se trouve dans un état dégradé, faute d'entretien, il n'établit aucunement que ce serait intentionnellement que la mise en cause aurait endommagé les lieux, étant précisé qu'elle est également copropriétaire dudit bien immobilier. On peine ainsi à comprendre l'intérêt de cette dernière à endommager cette propriété, même sous la forme d'un dol éventuel, à plus forte raison au vu de la valeur "conséquente" dudit bien alléguée par le recourant. La mise en cause a, dans le cadre du litige civil</w:t>
      </w:r>
    </w:p>
    <w:p>
      <w:r>
        <w:t>- 8/10 - P/971/2019 opposant les époux, soutenu n'avoir pas effectué les travaux de rénovation nécessaires, faute de moyens financiers à sa disposition pour le faire. Cette version des faits est corroborée par les déclarations du recourant, qui admet ne pas s'acquitter de la contribution d'entretien et les pièces produites au dossier, en particulier l'avis concernant l'exécution du séquestre de l'Office des poursuites du 11 janvier 2019. Il résulte de ce qui précède que c'est à bon droit que le Ministère public a décidé de ne pas entrer en matière sur la plainte pénale du recourant, faute de prévention pénale suffisante. Pour le surplus, le litige apparaît essentiellement de nature civile, relevant des règles du code civil en matière de copropriété foncière. L'instruction pénale n'ayant pas vocation de préparer les voies civiles, la confirmation de l'ordonnance querellée s'impose pour ce motif également.</w:t>
      </w:r>
    </w:p>
    <w:p>
      <w:r>
        <w:rPr>
          <w:b/>
        </w:rPr>
        <w:t>E. 5</w:t>
      </w:r>
    </w:p>
    <w:p>
      <w:r>
        <w:t>Justifiée, l'ordonnance querellée sera donc confirmée.</w:t>
      </w:r>
    </w:p>
    <w:p>
      <w:r>
        <w:rPr>
          <w:b/>
        </w:rPr>
        <w:t>E. 6</w:t>
      </w:r>
    </w:p>
    <w:p>
      <w:r>
        <w:t>Le recourant, qui succombe, supportera les frais envers l'État, qui seront fixés en totalité à CHF 1'500.- (art. 428 al. 1 CPP et 13 al. 1 du Règlement fixant le tarif des frais en matière pénale, RTFMP ; E 4 10.03). * * * * *</w:t>
      </w:r>
    </w:p>
    <w:p>
      <w:r>
        <w:t>- 9/10 - P/971/2019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