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ACPR/52/2026 vom 19. Dezember 2025</w:t>
      </w:r>
    </w:p>
    <w:p>
      <w:r>
        <w:t>GE Cour de justice, 2025-12-19, FR</w:t>
      </w:r>
    </w:p>
    <w:p>
      <w:r>
        <w:rPr>
          <w:b/>
        </w:rPr>
        <w:t xml:space="preserve">Quelle: </w:t>
      </w:r>
      <w:r>
        <w:t>https://mcp.opencaselaw.ch/entscheid/ge_gerichte_ACPR_52_2026</w:t>
      </w:r>
    </w:p>
    <w:p>
      <w:r>
        <w:t>FR: GE_GERICHTE ACPR/52/2026 du 19 décembre 2025</w:t>
      </w:r>
    </w:p>
    <w:p>
      <w:r>
        <w:t>IT: GE_GERICHTE ACPR/52/2026 del 19 dicembre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l'existence de charges suffisantes et graves, au sens de l'art. 221 al. 1 CPP, de sorte qu'il peut être renvoyé, en tant que de besoin, à la motivation</w:t>
      </w:r>
    </w:p>
    <w:p>
      <w:r>
        <w:t>- 8/12 - P/20053/2019 adoptée par le premier juge (art 82 al. 4 CPP; ACPR/747/2020 du 22 octobre 2020 consid. 2 et les références).</w:t>
      </w:r>
    </w:p>
    <w:p>
      <w:r>
        <w:rPr>
          <w:b/>
        </w:rPr>
        <w:t>E. 3</w:t>
      </w:r>
    </w:p>
    <w:p>
      <w:r>
        <w:t>Le recourant ne conteste pas l'existence d'un risque de fuite, mais considère qu'il peut être pallié par des mesures de substitution.</w:t>
      </w:r>
    </w:p>
    <w:p>
      <w:r>
        <w:rPr>
          <w:b/>
        </w:rPr>
        <w:t>E. 3.1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3.2</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 fourniture de sûretés (al. 2 let. a), la saisie des documents d'identité et autres documents officiels (al. 2 let. b), l'assignation à résidence ou l'interdiction de se rendre dans un certain lieu ou un certain immeuble (al. 2 let. c), l'obligation de se présenter régulièrement à un service administratif (al. 2 let. d), d'avoir un travail régulier (al. 2 let. e), de se soumettre à un traitement médical ou à des contrôles (al. 2 let. f) et l'interdiction d'entretenir des relations avec certaines personnes (al. 2 let. g). La liste des mesures de substitution énoncée à l'art. 237 CPP n'est pas exhaustive (arrêt du Tribunal fédéral 1B_654/2011 du 7 décembre 2011 consid. 4.2).</w:t>
      </w:r>
    </w:p>
    <w:p>
      <w:r>
        <w:rPr>
          <w:b/>
        </w:rPr>
        <w:t>E. 3.3</w:t>
      </w:r>
    </w:p>
    <w:p>
      <w:r>
        <w:t>À teneur de l'art. 238 CPP, le tribunal peut, s'il y a danger de fuite, astreindre le prévenu au versement d'une somme d'argent afin de garantir qu'il se présentera aux actes de procédure et se soumettra à l'exécution d'une sanction privative de liberté (al.1). Le montant des sûretés dépend de la gravité des actes reprochés au prévenu et de sa situation personnelle (al. 2). Selon la jurisprudence, le caractère approprié de la garantie doit être apprécié notamment "par rapport à l'intéressé, à ses ressources, à ses liens avec les personnes appelées à servir de cautions et pour tout dire à la confiance qu'on peut avoir que la perspective de perte du cautionnement ou de l'exécution des cautions en cas de non- comparution à l'audience agira sur lui comme un frein suffisant pour éviter toute velléité de fuite" (ATF 105 Ia 186 consid. 4a, citant l'arrêt CourEDH Neumeister c. Autriche du 27 juin 1968, Série A, vol. 7, par. 14; cf. arrêt 1P_165/2006 du 19 avril 2006 consid. 3.2.1, publié in SJ 2006 I p. 395). Si la caution doit être fournie par un</w:t>
      </w:r>
    </w:p>
    <w:p>
      <w:r>
        <w:t>- 9/12 - P/20053/2019 tiers, il y a lieu de prendre en considération les relations personnelles et financières du prévenu avec cette personne (arrêt 1P.690/2004 du 14 décembre 2004 consid. 2.4.3 et les références).</w:t>
      </w:r>
    </w:p>
    <w:p>
      <w:r>
        <w:rPr>
          <w:b/>
        </w:rPr>
        <w:t>E. 3.4</w:t>
      </w:r>
    </w:p>
    <w:p>
      <w:r>
        <w:t>En l'espèce, le risque de fuite est très concret. Le prévenu est de nationalité algérienne. Il est au bénéfice d'un titre de séjour italien (valable jusqu’au 23 février 2026). Il dit avoir vécu avant son arrestation à W______, au printemps 2025, entre la Sicile, où demeure son épouse, et la France, où il aurait travaillé, entre janvier et juin 2024, dans un restaurant appartenant à son cousin. Il n'a aucun titre de séjour en France. Il a dit avoir pour projet de retourner en Italie, où il ferait soigner son genou, tout en produisant une attestation d'hébergement à W______ de sa compagne et une promesse d'embauche de la société l'y ayant déjà employé en 2024. Autrement dit, ses projets de vie ne se trouvent nullement en Suisse, où il se trouverait au demeurant en situation illégale, et il n'est pas même certain que le recourant sache où il se rendra en définitive à sa sortie de prison, puisque son souhait premier était la Sicile. Il est fort à craindre qu'il ne revienne pas en Suisse pour y être jugé, étant rappelé que quand bien même, une fois arrêté par les autorités françaises le 16 avril 2025, il a accepté une extradition facilitée au printemps 2025, il faisait alors l'objet de pas moins de quatre mandats d'arrêt successifs, des 25 novembre 2020, 25 février 2021, 14 juin 2023 et 7 février 2025. Il est connu sous un alias, ce qui démontre sa propension à trouver des subterfuges pour tromper les autorités. C'est dire qu'un retour dans la clandestinité, que ce soit en France ou en Italie, ou encore dans son pays d'origine, l'Algérie, est sérieusement à craindre, considérant en particulier la peine concrète à laquelle il est exposé. Il sera rappelé à cet égard qu'il va avoir à répondre de dix cambriolages perpétrés, ou tentatives de cambriolages, dans le canton de Genève. Dans ces conditions, une caution de EUR 20'000.-, provenant de fonds récoltés auprès de trois proches – à savoir sa compagne à W______, étant noté que le prévenu dit encore entretenir des contacts et se rendre auprès de son épouse en Sicile, un cousin et un oncle – n'est pas suffisante à freiner toute velléité du recourant de se défausser pour l'audience de jugement à venir et l'exécution de "l'éventuelle peine", pour reprendre ses termes. La peine concrètement encourue est celle résultant du refus du sursis par l'autorité de jugement, par suite du rejet de la procédure simplifiée. La collaboration du recourant jusque-là n'y change rien, et sera appréciée le moment venu par le juge du fond.</w:t>
      </w:r>
    </w:p>
    <w:p>
      <w:r>
        <w:rPr>
          <w:b/>
        </w:rPr>
        <w:t>E. 4</w:t>
      </w:r>
    </w:p>
    <w:p>
      <w:r>
        <w:t>Partant, la détention provisoire demeure nécessaire pour pallier le risque de fuite. L'admission de ce risque, évident, dispense d'examiner s'il s'y ajouteraient des risques alternatifs de collusion et/ou de récidive (arrêts du Tribunal fédéral 7B_144/2025 du 24 mars 2025 consid. 3.3; 1B_34/2023 du 13 février 2023 consid. 3.3).</w:t>
      </w:r>
    </w:p>
    <w:p>
      <w:r>
        <w:rPr>
          <w:b/>
        </w:rPr>
        <w:t>E. 5</w:t>
      </w:r>
    </w:p>
    <w:p>
      <w:r>
        <w:t>Le recours s'avère ainsi infondé et doit être rejeté.</w:t>
      </w:r>
    </w:p>
    <w:p>
      <w:r>
        <w:t>- 10/12 - P/20053/2019</w:t>
      </w:r>
    </w:p>
    <w:p>
      <w:r>
        <w:rPr>
          <w:b/>
        </w:rPr>
        <w:t>E. 6</w:t>
      </w:r>
    </w:p>
    <w:p>
      <w:r>
        <w:t>Le recourant, qui succombe, supportera les frais envers l'État, fixés en totalité à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7</w:t>
      </w:r>
    </w:p>
    <w:p>
      <w:r>
        <w:t>Le recourant plaide au bénéfice d'une défense d'office.</w:t>
      </w:r>
    </w:p>
    <w:p>
      <w:r>
        <w:rPr>
          <w:b/>
        </w:rPr>
        <w:t>E. 7.1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7.2</w:t>
      </w:r>
    </w:p>
    <w:p>
      <w:r>
        <w:t>En l'occurrence, quand bien même le recourant succombe, on peut admettre que l'exercice du présent recours ne procède pas d'un abus. L'indemnité du défenseur d'office sera fixée à la fin de la procédure (art. 135 al. 2 CPP). * * * * *</w:t>
      </w:r>
    </w:p>
    <w:p>
      <w:r>
        <w:t>- 11/12 - P/20053/2019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