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ACPR/52/2023 vom 8. Juli 2022</w:t>
      </w:r>
    </w:p>
    <w:p>
      <w:r>
        <w:t>GE Cour de justice, 2022-07-08, FR</w:t>
      </w:r>
    </w:p>
    <w:p>
      <w:r>
        <w:rPr>
          <w:b/>
        </w:rPr>
        <w:t xml:space="preserve">Quelle: </w:t>
      </w:r>
      <w:r>
        <w:t>https://mcp.opencaselaw.ch/entscheid/ge_gerichte_ACPR_52_2023</w:t>
      </w:r>
    </w:p>
    <w:p>
      <w:r>
        <w:t>FR: GE_GERICHTE ACPR/52/2023 du 8 juillet 2022</w:t>
      </w:r>
    </w:p>
    <w:p>
      <w:r>
        <w:t>IT: GE_GERICHTE ACPR/52/2023 del 8 luglio 2022</w:t>
      </w:r>
    </w:p>
    <w:p>
      <w:pPr>
        <w:pStyle w:val="Heading2"/>
      </w:pPr>
      <w:r>
        <w:t>Erwägungen</w:t>
      </w:r>
    </w:p>
    <w:p>
      <w:r>
        <w:rPr>
          <w:b/>
        </w:rPr>
        <w:t>E. 1.1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recourante revient sur certains faits exposés dans ses plaintes pénales des 30 juillet 2018, 15 mars et 27 juillet 2022. Dans la mesure où il s'agit de procédures distinctes de celle objet du présent recours, la Chambre de céans ne saurait entrer en matière sur ceux-ci.</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les faits exposés dans sa plainte du 5 juillet 2022.</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En d'autres termes, il doit être évident que les faits dénoncés ne tombent pas sous le coup de la loi pénale (ATF 137 IV 285 consid. 2.3. p. 287).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w:t>
      </w:r>
    </w:p>
    <w:p>
      <w:r>
        <w:t>- 5/8 - P/14581/2022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w:t>
      </w:r>
    </w:p>
    <w:p>
      <w:r>
        <w:rPr>
          <w:b/>
        </w:rPr>
        <w:t>E. 3.2</w:t>
      </w:r>
    </w:p>
    <w:p>
      <w:r>
        <w:t>Aux termes de l'art. 186 CP, se rend coupable de violation de domicile celui qui, notamment, d'une manière illicite et contre la volonté de l'ayant droit, aura pénétré dans une habitation.</w:t>
      </w:r>
    </w:p>
    <w:p>
      <w:r>
        <w:rPr>
          <w:b/>
        </w:rPr>
        <w:t>E. 3.3</w:t>
      </w:r>
    </w:p>
    <w:p>
      <w:r>
        <w:t>L'art. 139 CP punit celui qui, pour se procurer ou procurer à un tiers un enrichissement illégitime, aura soustrait une chose mobilière appartenant à autrui dans le but de se l’approprier. Si l'acte ne visait qu'un élément patrimonial de faible valeur, l'auteur sera, sur plainte, puni d'une amende (art. 172ter CP).</w:t>
      </w:r>
    </w:p>
    <w:p>
      <w:r>
        <w:rPr>
          <w:b/>
        </w:rPr>
        <w:t>E. 3.4</w:t>
      </w:r>
    </w:p>
    <w:p>
      <w:r>
        <w:t>En l'espèce, la recourante soutient qu'un tiers aurait pénétré dans son logement en sa présence et y aurait dérobé sa carte bancaire ainsi qu'un ticket de caisse rangés dans son sac à main. La recourante ne prétend toutefois pas avoir été témoin de cette soustraction ni avoir constaté de signe d'effraction. Elle n'a pas non plus été en mesure d'expliquer la manière dont un tiers aurait pu s'introduire dans son appartement dans le très court laps de temps durant lequel elle était à la cuisine avant de sécuriser la porte, étant relevé qu'elle n'allègue pas avoir été suivie. Ainsi, hormis ses déclarations et convictions, le dossier ne recèle aucun indice concret laissant supposer qu'un tiers aurait pénétré dans son logement contre son gré et son insu et s'y serait approprié ce qu'elle affirme lui avoir été soustrait. Pour le surplus, il ressort du dossier que sa carte bancaire n'a pas été utilisée frauduleusement par un tiers.</w:t>
      </w:r>
    </w:p>
    <w:p>
      <w:r>
        <w:t>- 6/8 - P/14581/2022 S'agissant des auteurs soupçonnés, à savoir un commerçant de E______, ses éventuels complices et des voisins, la recourante n'apporte aucun élément concret laissant penser qu'ils seraient effectivement entrés dans son appartement et lui auraient volé les objets précités. Il s'ensuit que ni la prévention de violation de domicile (art. 186 CP) ni celle de vol (art. 139 CP) ne sont établies avec une vraisemblance suffisante et aucune mesure d'instruction ne paraît à même de modifier ce constat. La décision du Ministère public ne prête dès lors pas le flanc à la critique.</w:t>
      </w:r>
    </w:p>
    <w:p>
      <w:r>
        <w:rPr>
          <w:b/>
        </w:rPr>
        <w:t>E. 4</w:t>
      </w:r>
    </w:p>
    <w:p>
      <w:r>
        <w:t>Justifiée, l'ordonnance querellée sera ainsi confirmée.</w:t>
      </w:r>
    </w:p>
    <w:p>
      <w:r>
        <w:rPr>
          <w:b/>
        </w:rPr>
        <w:t>E. 5</w:t>
      </w:r>
    </w:p>
    <w:p>
      <w:r>
        <w:t>La recourante, qui succombe, supportera les frais envers l'État, qui seront fixés en totalité à CHF 800.- (art. 428 al. 1 CPP et 13 al. 1 du Règlement fixant le tarif des frais en matière pénale, RTFMP ; E 4 10.03). * * * * *</w:t>
      </w:r>
    </w:p>
    <w:p>
      <w:r>
        <w:t>- 7/8 - P/14581/2022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