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ACPR/529/2025 vom 5. Mai 2025</w:t>
      </w:r>
    </w:p>
    <w:p>
      <w:r>
        <w:t>GE Cour de justice, 2025-05-05, FR</w:t>
      </w:r>
    </w:p>
    <w:p>
      <w:r>
        <w:rPr>
          <w:b/>
        </w:rPr>
        <w:t xml:space="preserve">Quelle: </w:t>
      </w:r>
      <w:r>
        <w:t>https://mcp.opencaselaw.ch/entscheid/ge_gerichte_ACPR_529_2025</w:t>
      </w:r>
    </w:p>
    <w:p>
      <w:r>
        <w:t>FR: GE_GERICHTE ACPR/529/2025 du 5 mai 2025</w:t>
      </w:r>
    </w:p>
    <w:p>
      <w:r>
        <w:t>IT: GE_GERICHTE ACPR/529/2025 del 5 maggio 2025</w:t>
      </w:r>
    </w:p>
    <w:p>
      <w:pPr>
        <w:pStyle w:val="Heading2"/>
      </w:pPr>
      <w:r>
        <w:t>Erwägungen</w:t>
      </w:r>
    </w:p>
    <w:p>
      <w:r>
        <w:rPr>
          <w:b/>
        </w:rPr>
        <w:t>E. 1</w:t>
      </w:r>
    </w:p>
    <w:p>
      <w:r>
        <w:t>Le recours est recevable pour avoir été déposé selon la forme et dans le délai prescrits (art. 90 al. 2, 385 al. 1 et 396 al. 1 CPP), concerner une décision rendue par le SRSP, dans une matière pour laquelle il est compétent (art. 40 al. 1 et 5 al. 2 let. h de la Loi d'application du code pénal suisse du 27 août 2009 [LaCP; E 4 10]), sujette à recours</w:t>
      </w:r>
    </w:p>
    <w:p>
      <w:r>
        <w:t>- 4/7 - PS/48/2025 auprès de la Chambre de céans (art. 42 al. 1 LaCP et 52 al. 2 du Règlement sur les formes alternatives d'exécution des peines du 13 décembre 2017 [RFAEP; E 4 55.13]), les art. 379 à 397 CPP s'appliquant par analogie (art. 42 al. 3 LaCP), et émaner du condamné visé par la décision querellée, qui a un intérêt juridiquement protégé à l'annulation de la décision entreprise (art. 382 CPP).</w:t>
      </w:r>
    </w:p>
    <w:p>
      <w:r>
        <w:rPr>
          <w:b/>
        </w:rPr>
        <w:t>E. 2</w:t>
      </w:r>
    </w:p>
    <w:p>
      <w:r>
        <w:t>Invité à se déterminer sur le recours, le SRSP n'a pas réagi dans le délai imparti, échéant au lundi 30 juin 2025. Son écriture du 7 juillet 2025 est tardive et, partant, irrecevable.</w:t>
      </w:r>
    </w:p>
    <w:p>
      <w:r>
        <w:rPr>
          <w:b/>
        </w:rPr>
        <w:t>E. 3</w:t>
      </w:r>
    </w:p>
    <w:p>
      <w:r>
        <w:t>Le recourant fait grief à l'autorité intimée de lui avoir refusé le bénéfice de l'exécution de sa peine sous la forme de la surveillance électronique.</w:t>
      </w:r>
    </w:p>
    <w:p>
      <w:r>
        <w:rPr>
          <w:b/>
        </w:rPr>
        <w:t>E. 3.1</w:t>
      </w:r>
    </w:p>
    <w:p>
      <w:r>
        <w:t>Conformément à l'art. 79b al. 1 let. a et al. 2 CP, à la demande du condamné, l'autorité d'exécution peut ordonner l'utilisation d'un appareil électronique fixé au condamné (surveillance électronique), au titre de l'exécution d'une peine privative de liberté de 20 jours à 12 mois : s'il n'y a pas lieu de craindre que le condamné s'enfuie ou commette d'autres infractions (let. a); s'il dispose d'un logement (let. b); s'il exerce une activité régulière qu'il s'agisse d'un travail, d'une formation ou d'une occupation, pendant au moins 20 heures par semaine, ou s'il est possible de l'y assigner (let. c); si les personnes adultes faisant ménage commun avec lui y consentent (let. d) et s'il approuve le plan d'exécution établi à son intention (let. e).</w:t>
      </w:r>
    </w:p>
    <w:p>
      <w:r>
        <w:rPr>
          <w:b/>
        </w:rPr>
        <w:t>E. 3.2</w:t>
      </w:r>
    </w:p>
    <w:p>
      <w:r>
        <w:t>La surveillance électronique est un mode d'exécution de la peine privative de liberté (Vollzugsstufe), alternative à la prison qui vient s'ajouter aux solutions de la semi-détention (art. 77b CP) et du travail d'intérêt général (art. 79a CP) en début de peine. L'idée centrale de cette mesure, si elle tend sans doute à désengorger les prisons, est avant tout de limiter les effets nocifs de la détention, en évitant au condamné qu'il doive exécuter sa peine et qu'il risque ainsi de perdre ses assises sociales (travail, famille, etc.). Concrètement, cette solution voit en principe le condamné travailler ou s'occuper une partie de la journée et, durant son temps libre, regagner son logement et y rester, des aménagements du temps libre étant évidemment envisageables (L. MOREILLON / A. MACALUSO / N. QUELOZ / N. DONGOIS, Commentaire romand : Code pénal I (art. 1 – 110 CP), 2ème éd., Bâle 2021, n. 5 ad art. 79b CP).</w:t>
      </w:r>
    </w:p>
    <w:p>
      <w:r>
        <w:rPr>
          <w:b/>
        </w:rPr>
        <w:t>E. 3.3</w:t>
      </w:r>
    </w:p>
    <w:p>
      <w:r>
        <w:t>La condition de l'absence de risque de récidive posée par l'art. 79b al. 2 let. a CP étant identique à celle posée par l'art. 77b al. 1 let. a CP, elle doit être appliquée de la même manière (arrêts du Tribunal fédéral 6B_1261/2021 du 5 octobre 2022 consid. 2.1; 6B_872/2021 du 28 juin 2022 consid. 2.2 et la référence citée). Le risque de fuite ou de récidive visé par l'art. 77b CP doit être d'une certaine importance et les nouvelles infractions d'une certaine gravité. Pour poser un pronostic quant au comportement futur du condamné, l'autorité d'exécution des peines doit tenir compte, notamment, de ses antécédents judiciaires, de sa personnalité, de son</w:t>
      </w:r>
    </w:p>
    <w:p>
      <w:r>
        <w:t>- 5/7 - PS/48/2025 comportement en général et au travail, ainsi que des conditions dans lesquelles il vivra (ATF 145 IV 10 consid. 2.2.1 et les références). Contrairement au sursis et à la libération conditionnelle, toutes les infractions sont envisagées dans le risque de récidive mentionné à l'art. 79b al. 2 let. a CP, et pas seulement les délits et crimes (L. MOREILLON / A. MACALUSO / N. QUELOZ / N. DONGOIS, op. cit., n. 13 ad art. 79b CP note 44). L'existence d'un risque de récidive fait à lui seul obstacle à l'octroi du régime de la semi-détention ou de la surveillance électronique, sans qu'il n'y ait lieu de tenir compte de la situation familiale du condamné, de ses activités professionnelles, de son intégration, etc. (arrêt du Tribunal fédéral 6B_872/2021 précité consid. 3.2.4).</w:t>
      </w:r>
    </w:p>
    <w:p>
      <w:r>
        <w:rPr>
          <w:b/>
        </w:rPr>
        <w:t>E. 3.4</w:t>
      </w:r>
    </w:p>
    <w:p>
      <w:r>
        <w:t>En l'occurrence, le recourant a été condamné à quatre reprises entre 2017 et 2022, dont trois fois pour des infractions graves aux règles de la circulation routière. La répétition d'antécédents spécifiques suffit ainsi à poser un pronostic défavorable. En outre, il a été condamné la dernière fois en 2022 pour, principalement, tentative de viol, notamment à une peine privative de liberté de 10 mois, soit à une infraction grave également. Dans ces circonstances, le risque de réitération doit être retenu et s'oppose à l'exécution de la peine privative de liberté sous une forme alternative. À cela s'ajoute que le recourant a déjà bénéficié à une reprise d'une forme alternative d'exécution de peine sous la forme d'un travail d'intérêt général mais que celui-ci a été révoqué en décembre 2022 en raison de son manque de collaboration, ce qui contrevient aux réquisits de l'art. 77b CP, s'agissant de l'appréciation du pronostic quant à son comportement futur.</w:t>
      </w:r>
    </w:p>
    <w:p>
      <w:r>
        <w:rPr>
          <w:b/>
        </w:rPr>
        <w:t>E. 4</w:t>
      </w:r>
    </w:p>
    <w:p>
      <w:r>
        <w:t>Justifiée, la décision querellée sera donc confirmée et, partant, le recours rejeté.</w:t>
      </w:r>
    </w:p>
    <w:p>
      <w:r>
        <w:rPr>
          <w:b/>
        </w:rPr>
        <w:t>E. 5</w:t>
      </w:r>
    </w:p>
    <w:p>
      <w:r>
        <w:t>Le recourant, qui succombe, supportera les frais envers l'État, qui seront fixés en totalité à CHF 600.- (art. 428 al. 1 CPP et 13 al. 1 du Règlement fixant le tarif des frais en matière pénale, RTFMP ; E 4 10.03). * * * * *</w:t>
      </w:r>
    </w:p>
    <w:p>
      <w:r>
        <w:t>- 6/7 - PS/48/2025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