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ACPR/529/2024 vom 31. Mai 2024</w:t>
      </w:r>
    </w:p>
    <w:p>
      <w:r>
        <w:t>GE Cour de justice, 2024-05-31, FR</w:t>
      </w:r>
    </w:p>
    <w:p>
      <w:r>
        <w:rPr>
          <w:b/>
        </w:rPr>
        <w:t xml:space="preserve">Quelle: </w:t>
      </w:r>
      <w:r>
        <w:t>https://mcp.opencaselaw.ch/entscheid/ge_gerichte_ACPR_529_2024</w:t>
      </w:r>
    </w:p>
    <w:p>
      <w:r>
        <w:t>FR: GE_GERICHTE ACPR/529/2024 du 31 mai 2024</w:t>
      </w:r>
    </w:p>
    <w:p>
      <w:r>
        <w:t>IT: GE_GERICHTE ACPR/529/2024 del 31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n'être pas entré en matière sur ses plaintes.</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Les indices relatifs à la commission d'une infraction impliquant l'ouverture d'une instruction doivent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arrêts du Tribunal fédéral 6B_488/2021 du 22 décembre 2021 consid. 5.3; 6B_212/2020 du 21 avril 2021 consid. 2.2; 6B_196/2020 du 14 octobre 2020 consid. 3.1).</w:t>
      </w:r>
    </w:p>
    <w:p>
      <w:r>
        <w:t>- 5/8 - P/26729/2023 2.2.1. Aux termes de l'art. 123 al. 1 CP est punissable quiconque, intentionnellement,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(ATF 132 IV 189 consid. 1.1; arrêt du Tribunal fédéral 6B_652/2023 du 11 décembre 2023 consid. 1.1.4). 2.2.2. L’art. 144 ch. 1 CP réprime le comportement de quiconque endommage, détruit ou met hors d'usage une chose, soit appartenant à autrui, soit frappée d'un droit d'usage ou d'usufruit au bénéfice d'autrui. 2.2.3. Se rend coupable de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(art. 186 CP).</w:t>
      </w:r>
    </w:p>
    <w:p>
      <w:r>
        <w:rPr>
          <w:b/>
        </w:rPr>
        <w:t>E. 2.3</w:t>
      </w:r>
    </w:p>
    <w:p>
      <w:r>
        <w:t>En l'espèce, les accusations de la recourante, et les pièces produites à leur appui, ne fondent pas le début d'un soupçon de réalisation d'une infraction pénale. Une multitude des dégâts ou lésions – superficiels – qu'elle cherche à mettre en exergue au travers de ses plaintes peuvent s'expliquer de manière naturelle. D'autant que selon le rapport transmis au SPAd et au TPAE, son appartement présente, de base, un état d'insalubrité important et qu'elle avait pour habitude d'utiliser la gazinière pour chauffer son logement. En outre, aucun élément concret ne permet de conclure de manière sérieuse à une intervention d'un tiers, ni à une présence étrangère dans l'appartement de la recourante à l'insu de celle-ci. Les certificats médicaux produits ne font qu'évoquer une telle possibilité sans être affirmatifs, certitude que le médecin signataire, compte tenu des circonstances et des lésions en question, ne pourrait de toute manière pas acquérir sur la base des seules déclarations de sa patiente. Quoiqu'il en soit, la recourante a fait part, dans sa plainte déposée contre "inconnu", de ses "forts soupçons" à l'encontre des mis en cause, sans jamais fournir la moindre explication ou justification qui permettrait de les fonder. En d'autres termes, ses accusations reposent sur ses seules convictions, qu'elle n'a pas étayées. Il n'y a donc aucune raison d'envisager, à ce stade, que les mis en cause seraient à l'origine des faits dénoncés, étant précisé qu'ils ont intégralement contesté ces accusations. En définitive, le dossier n'offre aucune assise pour identifier d'hypothétiques auteurs, ni même pour retenir la commission d'une infraction.</w:t>
      </w:r>
    </w:p>
    <w:p>
      <w:r>
        <w:t>- 6/8 - P/26729/2023</w:t>
      </w:r>
    </w:p>
    <w:p>
      <w:r>
        <w:rPr>
          <w:b/>
        </w:rPr>
        <w:t>E. 3</w:t>
      </w:r>
    </w:p>
    <w:p>
      <w:r>
        <w:t>Justifiée, l'ordonnance querellée sera donc confirmée. Le recours, qui s'avère mal fondé, pouvait d'emblée être traité sans échange d'écritures ni débats (art. 390 al. 2 et</w:t>
      </w:r>
    </w:p>
    <w:p>
      <w:r>
        <w:rPr>
          <w:b/>
        </w:rPr>
        <w:t>E. 5</w:t>
      </w:r>
    </w:p>
    <w:p>
      <w:r>
        <w:t>La recourante, qui succombe, supportera les frais envers l'État, fixés en intégralité à CHF 400.- (art. 428 al. 1 CPP et 13 al. 1 du Règlement fixant le tarif des frais en matière pénale, RTFMP; E 4 10.03). Le refus d'octroi de l'assistance juridique gratuite est, quant à lui, rendu sans frais (art. 20 RAJ). * * * * *</w:t>
      </w:r>
    </w:p>
    <w:p>
      <w:r>
        <w:t>- 7/8 - P/26729/2023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