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ACPR/529/2021 vom 16. März 2021</w:t>
      </w:r>
    </w:p>
    <w:p>
      <w:r>
        <w:t>GE Cour de justice, 2021-03-16, FR</w:t>
      </w:r>
    </w:p>
    <w:p>
      <w:r>
        <w:rPr>
          <w:b/>
        </w:rPr>
        <w:t xml:space="preserve">Quelle: </w:t>
      </w:r>
      <w:r>
        <w:t>https://mcp.opencaselaw.ch/entscheid/ge_gerichte_ACPR_529_2021</w:t>
      </w:r>
    </w:p>
    <w:p>
      <w:r>
        <w:t>FR: GE_GERICHTE ACPR/529/2021 du 16 mars 2021</w:t>
      </w:r>
    </w:p>
    <w:p>
      <w:r>
        <w:t>IT: GE_GERICHTE ACPR/529/2021 del 16 marzo 2021</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CPP).2.2.</w:t>
      </w:r>
    </w:p>
    <w:p>
      <w:r>
        <w:rPr>
          <w:b/>
        </w:rPr>
        <w:t>E. 1.2</w:t>
      </w:r>
    </w:p>
    <w:p>
      <w:r>
        <w:t>La détermination spontanée de l'intimé, produite pendant le délai accordé au Ministère public pour répondre au recours et communiquée aux parties, remplit les</w:t>
      </w:r>
    </w:p>
    <w:p>
      <w:r>
        <w:t>- 5/8 - P/3871/2021 réquisits du droit d'être entendu et place chaque partie sur un plan d'égalité. Elle sera par conséquent admise, ce d'autant qu'elle ressortit pleinement à l'exercice raisonnable de la défense</w:t>
      </w:r>
    </w:p>
    <w:p>
      <w:r>
        <w:rPr>
          <w:b/>
        </w:rPr>
        <w:t>E. 2</w:t>
      </w:r>
    </w:p>
    <w:p>
      <w:r>
        <w:t>La recourante fait grief au Ministère public d'avoir refusé d'entrer en matière sur les faits dénoncés dans sa plainte pénale.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qui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 69).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w:t>
      </w:r>
    </w:p>
    <w:p>
      <w:r>
        <w:rPr>
          <w:b/>
        </w:rPr>
        <w:t>E. 2.2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L'honneur protégé par le droit pénal est conçu de façon générale comme un droit au respect, qui est lésé par toute assertion propre à exposer la personne visée au mépris en sa qualité d'homme. Tel est notamment le cas lorsqu'on évoque une infraction pénale ou un comportement clairement réprouvé par les conceptions morales généralement admises (ATF 145 IV 462 consid. 4.2.2 p. 464).</w:t>
      </w:r>
    </w:p>
    <w:p>
      <w:r>
        <w:t>- 6/8 - P/3871/2021 Pour qu'il y ait diffamation, il faut que l'auteur s'adresse à un tiers. Est en principe considérée comme tiers toute personne autre que l'auteur et l'objet des propos qui portent atteinte à l'honneur, par exemple un avocat ou un magistrat (ATF 86 IV 209). Dans un arrêt récent, le Tribunal fédéral a été amené à réexaminer cette notion de tiers, jugée trop large par une majorité de la doctrine. Il a toutefois maintenu sa position, en particulier à l'égard de l'avocat par rapport à son client. Les intérêts du client n'exigent pas que la qualité de tiers soit déniée à l'avocat. Certes, il convient de laisser au client la faculté de s'exprimer le plus librement possible en présence de son avocat. Il est cependant raisonnable de demander au client de s'en tenir à des assertions qui se rapportent d'une manière ou d'une autre à son affaire et ne sont pas absolument dénuées de fondement. Or, à condition de respecter ces limites, le client échappe aux sanctions prévues par l'art. 173 ch. 1 CP. D'abord, s'il ne soulève que des questions liées à la mission de l'avocat, il pourra se prévaloir d'un motif suffisant au sens de l'art. 173 ch. 3 CP et administrer les preuves libératoires énoncées à l'art. 173 ch. 2 CP. De plus, il lui suffira d'invoquer certains indices à l'appui de ses déclarations pour établir sa bonne foi conformément à l'art. 173 ch. 2 CP et obtenir son acquittement (ATF 145 IV 462 consid. 4.3.3 p. 466 ss). Dans tous les cas de figure, la qualité de tiers, respectivement de "confident nécessaire" de l'avocat doit être niée lorsque des propos susceptibles d'être attentatoires à l'honneur lui sont transmis par son client dans le but qu'il les communique plus loin et s'en serve à l'attention de la personne visée par les propos en question (cf. ATF 145 IV 462 consid. 4.3.3 et 4.3.4 p. 468 s., avec références).</w:t>
      </w:r>
    </w:p>
    <w:p>
      <w:r>
        <w:rPr>
          <w:b/>
        </w:rPr>
        <w:t>E. 2.3</w:t>
      </w:r>
    </w:p>
    <w:p>
      <w:r>
        <w:t>En l'espèce, il convient de retenir que l'intimé a écrit ce qui lui est reproché dans un bref paragraphe qui ne constituait qu'un propos non essentiel dans sa demande de report d'un délai, n'ayant pas vocation à prouver quoi que ce soit. Il a dans ce courrier principalement mis l'accent sur ses propres problèmes de santé et sur les dissensions qui l'opposaient au conseil de la recourante. Cela étant, contrairement aux affirmations contenues dans la plainte et le recours, on ignore à quel document l'intimé se réfère dans sa lettre au tribunal lorsqu'il mentionne un faux caractérisé, sinon qu'il apparaitrait dans "une procédure […] engagée devant l'ordre des avocats à l'encontre du Conseil de mon épouse". Partant, ce document doit, contextuellement, être attribué à l'avocat plutôt qu'à sa cliente. De plus, c'est uniquement par déduction et en référence à des faits anciens que la recourante parvient à la conclusion que le document incriminé viserait la chronologie médicale, mais elle seule peut faire cette déduction à l'exclusion de tout tiers et notamment du destinataire dudit document. Face à tant d'imprécisions et de suppositions, il n'est pas possible de trouver une diffamation ou une calomnie caractérisée dans le courrier de l'intimé qui viserait spécifiquement la recourante et il n'y avait donc aucune raison d'entrer en matière.</w:t>
      </w:r>
    </w:p>
    <w:p>
      <w:r>
        <w:rPr>
          <w:b/>
        </w:rPr>
        <w:t>E. 3</w:t>
      </w:r>
    </w:p>
    <w:p>
      <w:r>
        <w:t>Justifiée, l'ordonnance querellée sera donc confirmée.</w:t>
      </w:r>
    </w:p>
    <w:p>
      <w:r>
        <w:t>- 7/8 - P/3871/2021</w:t>
      </w:r>
    </w:p>
    <w:p>
      <w:r>
        <w:rPr>
          <w:b/>
        </w:rPr>
        <w:t>E. 4</w:t>
      </w:r>
    </w:p>
    <w:p>
      <w:r>
        <w:t>La recourante,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