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ACPR/528/2024 vom 3. Mai 2024</w:t>
      </w:r>
    </w:p>
    <w:p>
      <w:r>
        <w:t>GE Cour de justice, 2024-05-03, FR</w:t>
      </w:r>
    </w:p>
    <w:p>
      <w:r>
        <w:rPr>
          <w:b/>
        </w:rPr>
        <w:t xml:space="preserve">Quelle: </w:t>
      </w:r>
      <w:r>
        <w:t>https://mcp.opencaselaw.ch/entscheid/ge_gerichte_ACPR_528_2024</w:t>
      </w:r>
    </w:p>
    <w:p>
      <w:r>
        <w:t>FR: GE_GERICHTE ACPR/528/2024 du 3 mai 2024</w:t>
      </w:r>
    </w:p>
    <w:p>
      <w:r>
        <w:t>IT: GE_GERICHTE ACPR/528/2024 del 3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la mise à sa charge de l'intégralité des frais de la procédure et, partant, le refus d'indemnisation conformément à l'art. 429 CPP.</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w:t>
      </w:r>
    </w:p>
    <w:p>
      <w:r>
        <w:rPr>
          <w:b/>
        </w:rPr>
        <w:t>E. 2.2</w:t>
      </w:r>
    </w:p>
    <w:p>
      <w:r>
        <w:t>Selon la jurisprudence relative à l'art. 426 al. 2 CPP, mais applicable par analogie à l'art. 430 al. 1 let. a CPP (cf. arrêt du Tribunal fédéral 6B_77/2013 du</w:t>
      </w:r>
    </w:p>
    <w:p>
      <w:r>
        <w:rPr>
          <w:b/>
        </w:rPr>
        <w:t>E. 2.3</w:t>
      </w:r>
    </w:p>
    <w:p>
      <w:r>
        <w:t>L'art. 53 CP règle le sort de la procédure pour le cas où l'auteur aura réparé le "dommage" ou compensé le "tort" causé. Cette disposition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(cf.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(ATF 144 IV 202 consid. 2.3).</w:t>
      </w:r>
    </w:p>
    <w:p>
      <w:r>
        <w:rPr>
          <w:b/>
        </w:rPr>
        <w:t>E. 2.4</w:t>
      </w:r>
    </w:p>
    <w:p>
      <w:r>
        <w:t>Aux termes de l'art. 9 al. 1 let. b LTr, sous réserve de la let. a, la durée maximale de la semaine de travail est de 50 heures. La durée du travail de nuit du travailleur n'excédera pas neuf heures, ou dix heures, pauses incluses (art. 17a al. 1 LTr). Lorsque le travail hebdomadaire est réparti sur plus de cinq jours, l'employeur est tenu de donner au travailleur une demi-journée de congé par semaine, sauf dans les semaines comprenant un jour chômé (art. 21 al. 1 LTr). Selon l'art. 21 al. 3 de l'ordonnance relative à la loi sur le travail du 10 mai 2020 (OLT1-RS 822.111), le travailleur occupé le dimanche ne peut être appelé à travailler plus de six jours consécutifs. L'art. 51 LTr, qui traite de l'intervention préalable de l'autorité en cas d'infraction, prévoit qu'en cas d'infraction à la loi, à une ordonnance ou à une décision, l'autorité cantonale signale l'infraction au contrevenant et l'invite à respecter la prescription ou décision qu'il a enfreinte (al. 1). Si le contrevenant ne donne pas suite à cette</w:t>
      </w:r>
    </w:p>
    <w:p>
      <w:r>
        <w:t>- 9/12 - P/12554/2020 intervention, l'autorité cantonale prend la décision voulue, sous menace de la peine prévue à l'art. 292 CP (al. 2). Aux termes de l'art. 39N de la loi sur l'inspection et les relations du travail du 12 mars 2004 (LIRT – J 1 05), l'OCIRT peut prononcer une amende administrative lorsqu'un employeur ne respecte pas le salaire minimum. Selon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w:t>
      </w:r>
    </w:p>
    <w:p>
      <w:r>
        <w:rPr>
          <w:b/>
        </w:rPr>
        <w:t>E. 2.5</w:t>
      </w:r>
    </w:p>
    <w:p>
      <w:r>
        <w:t>En l'espèce, le Ministère public a classé la procédure par application de l'art. 53 CP, ce qui permettait la mise à la charge de la recourante des frais y relatifs sans violer le principe de la présomption d'innocence. Par ailleurs, d'après les courriers de l'OCIRT, les rémunérations des réceptionnistes – pour la période de novembre 2020 à avril 2024 – étaient inférieures au salaire minimum cantonal, ce qui était passible d'une sanction administrative pour violation de l'art. 39N LIRT. En outre, la prévenue avait violé les dispositions de la LTr, dès lors que la durée de la semaine de travail avait excédé les 50 heures et que les employés avaient travaillé plusieurs semaines sans bénéficier de jours de congé, ce qui ressort également des déclarations des témoins. D'ailleurs, l'autorité cantonale a prononcé à l'encontre de l'employeur un avertissement au sens de l'art. 51 al. 1 LTr. Enfin, la recourante a admis, dans son courrier du 28 mars 2024, que D______ et E______ avaient effectué des heures supplémentaires non rémunérées, ce qui est contraire à l'art. 321c al. 3 CO. Ces violations sont sans conteste à l'origine de l'ouverture de la présente procédure, dès lors qu'elles permettaient légitimement aux plaignants précités de soupçonner l'existence d'infractions pénales à leur encontre. Le lien de causalité adéquate est dès lors réalisé et la recourante ne saurait reprocher aux autorités de poursuite pénale d'avoir procédé par excès de zèle. La procédure n'a pas été menée à terme, uniquement en raison des accords transactionnels intervenus avec D______ et E______, ayant conduit au retrait de leurs plaintes. Les actes d'instruction accomplis jusque-là étaient en adéquation avec les faits reprochés à la recourante. Contrairement à ce qu'elle soutient, il en va de même de la demande d'entraide internationale et de l'ordre de dépôt auprès d'une compagnie aérienne, dans la mesure où il ressort des déclarations des plaignants et des témoins que l'intéressée était rarement présente dans les salons et vivait la plupart du temps à G______.</w:t>
      </w:r>
    </w:p>
    <w:p>
      <w:r>
        <w:t>- 10/12 - P/12554/2020 S'agissant des faits dénoncés par F______, ceux-ci n'ont pas nécessité d'actes d'instruction distincts de ceux pour lesquels le Ministère public a fait application de l'art. 53 CP et, partant, n'ont pas engendré des frais supplémentaires. À cela s'ajoute que lesdits faits se rapportaient également aux conditions de travail imposées par la prévenue. En définitive, c'est donc à bon droit que le Ministère public a condamné la recourante aux frais de la procédure de classement. Partant, il pouvait également lui refuser toute indemnité. 3. Justifiée, l'ordonnance querellée sera donc confirmée.</w:t>
      </w:r>
    </w:p>
    <w:p>
      <w:r>
        <w:rPr>
          <w:b/>
        </w:rPr>
        <w:t>E. 4</w:t>
      </w:r>
    </w:p>
    <w:p>
      <w:r>
        <w:t>La recourante, qui succombe, supportera les frais de la procédure, fixés en totalité à CHF 1'000.- (art. 428 al. 1 CPP et 13 al. 1 du Règlement fixant le tarif des frais en matière pénale, RTFMP ; E 4 10.03). * * * * *</w:t>
      </w:r>
    </w:p>
    <w:p>
      <w:r>
        <w:t>- 11/12 - P/12554/2020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