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ACPR/528/2020 vom 23. April 2020</w:t>
      </w:r>
    </w:p>
    <w:p>
      <w:r>
        <w:t>GE Cour de justice, 2020-04-23, FR</w:t>
      </w:r>
    </w:p>
    <w:p>
      <w:r>
        <w:rPr>
          <w:b/>
        </w:rPr>
        <w:t xml:space="preserve">Quelle: </w:t>
      </w:r>
      <w:r>
        <w:t>https://mcp.opencaselaw.ch/entscheid/ge_gerichte_ACPR_528_2020</w:t>
      </w:r>
    </w:p>
    <w:p>
      <w:r>
        <w:t>FR: GE_GERICHTE ACPR/528/2020 du 23 avril 2020</w:t>
      </w:r>
    </w:p>
    <w:p>
      <w:r>
        <w:t>IT: GE_GERICHTE ACPR/528/2020 del 23 aprile 2020</w:t>
      </w:r>
    </w:p>
    <w:p>
      <w:pPr>
        <w:pStyle w:val="Heading2"/>
      </w:pPr>
      <w:r>
        <w:t>Erwägungen</w:t>
      </w:r>
    </w:p>
    <w:p>
      <w:r>
        <w:rPr>
          <w:b/>
        </w:rPr>
        <w:t>E. 1</w:t>
      </w:r>
    </w:p>
    <w:p>
      <w:r>
        <w:t>Le recours est recevable pour avoir été déposé selon la forme et dans le délai prescrits (art. 385 al. 1 et 396 al. 1 CPP), concerner un aspect d'une ordonnance sujet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1.1</w:t>
      </w:r>
    </w:p>
    <w:p>
      <w:r>
        <w:t>; 6B_203/2015 du 16 mars 2016 consid. 1.1 ; 6B_706/2014 du 28 août 2015 consid. 1.1 ; 6B_832/2014 du 24 avril 2015 consid. 1.2). Le comportement fautif – admis s'il y a au moins une négligence – doit être à l'origine de l'ouverture de l'enquête pénale ou alors il doit s'agir d'une "faute procédurale", c'est-à-dire d'un comportement qui a compliqué ou prolongé la procédure, pour que les frais y relatifs puissent être mis à la charge du prévenu ; par exemple le défaut sans excuse de l'art. 205 al. 4 CPP ou s'il est établi que le silence du prévenu a obligé l'autorité à procéder à des investigations nombreuses et complexes, alors qu'il lui aurait été facile de se disculper (ATF 112 Ib 456 consid. 4).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1057, p. 1313).</w:t>
      </w:r>
    </w:p>
    <w:p>
      <w:r>
        <w:rPr>
          <w:b/>
        </w:rPr>
        <w:t>E. 2</w:t>
      </w:r>
    </w:p>
    <w:p>
      <w:r>
        <w:t>Le recourant reproche au Ministère public ne pas avoir motivé son ordonnance querellée.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Le droit d'être entendu est une garantie constitutionnelle de caractère formel, dont la violation doit entraîner l'annulation de la décision, indépendamment des chances de succès du recours sur le fond (ATF 135 I 187 consid. 2.2 p. 190;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136 V 117 consid. 4.2.2.2 p. 126/127; 133 I 201 consid. 2.2 p. 204).</w:t>
      </w:r>
    </w:p>
    <w:p>
      <w:r>
        <w:t>- 5/8 - P/327/2020</w:t>
      </w:r>
    </w:p>
    <w:p>
      <w:r>
        <w:rPr>
          <w:b/>
        </w:rPr>
        <w:t>E. 2.2</w:t>
      </w:r>
    </w:p>
    <w:p>
      <w:r>
        <w:t>En l'espèce, si la décision entreprise était effectivement insuffisamment motivée, le Ministère public a, dans ses observations, développé les raisons qui justifiaient, selon lui, que les frais de la procédure soient mis à la charge du recourant. Le renvoi de la procédure pour défaut de motivation serait dès lors une vaine formalité. Cette question peut toutefois rester ouverte au vu des développements qui suivent.</w:t>
      </w:r>
    </w:p>
    <w:p>
      <w:r>
        <w:rPr>
          <w:b/>
        </w:rPr>
        <w:t>E. 3</w:t>
      </w:r>
    </w:p>
    <w:p>
      <w:r>
        <w:t>Le recourant conteste la mise à sa charge des frais de la procédure liés au classement partiel de la procédure pénale et, partant, le refus implicite de lui accorder une indemnité fondée sur l'art. 429 al. 1 let. a CPP.</w:t>
      </w:r>
    </w:p>
    <w:p>
      <w:r>
        <w:rPr>
          <w:b/>
        </w:rPr>
        <w:t>E. 3.1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3.2</w:t>
      </w:r>
    </w:p>
    <w:p>
      <w:r>
        <w:t>L'autorité pénale compétente pour liquider l'indemnisation est celle qui a prononcé l'abandon de la poursuite pénale (A. KUHN / Y. JEANNERET (éds), Commentaire romand : Code de procédure pénale suisse, 2ème éd., Bâle 2019, n. 51 ad art. 429; ACPR/362/2011 du 7 décembre 2011).</w:t>
      </w:r>
    </w:p>
    <w:p>
      <w:r>
        <w:rPr>
          <w:b/>
        </w:rPr>
        <w:t>E. 3.3</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p. 211; 137 IV 352 consid. 2.4.2 p. 357).</w:t>
      </w:r>
    </w:p>
    <w:p>
      <w:r>
        <w:rPr>
          <w:b/>
        </w:rPr>
        <w:t>E. 3.4</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p. 254 ; arrêt du Tribunal fédéral 6B_428/2012 du 19 novembre 2012 consid. 3.1). Un lien de causalité adéquate est nécessaire entre le comportement menant à la condamnation</w:t>
      </w:r>
    </w:p>
    <w:p>
      <w:r>
        <w:t>- 6/8 - P/327/2020 pénale et les coûts relatifs à l'enquête permettant de l'établir (arrêts du Tribunal fédéral 6B_136/2016 du 23 janvier 2017 consid. 4.1.1 ; 6B_53/2013 du 8 juillet 2013 consid. 4.1, non publié in ATF 139 IV 243 ; 6B_428/2012 du 19 novembre 2012 consid. 3.1).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 ATF 116 Ia 162 consid. 2c p. 168 ; arrêts du Tribunal fédéral 6B_1176/2015 du 23 novembre 2016 consid.</w:t>
      </w:r>
    </w:p>
    <w:p>
      <w:r>
        <w:rPr>
          <w:b/>
        </w:rPr>
        <w:t>E. 3.5</w:t>
      </w:r>
    </w:p>
    <w:p>
      <w:r>
        <w:t>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aménagé à l'art. 322 al. 2 CPP. Dès lors que le classement doit faire l'objet d'un prononcé séparé, écrit et motivé, il ne saurait être glissé et mélangé au contenu d'une ordonnance pénale. Si le ministère</w:t>
      </w:r>
    </w:p>
    <w:p>
      <w:r>
        <w:t>- 7/8 - P/327/2020 public n'entend réprimer qu'une partie des faits dans le contexte d'une ordonnance pénale, il doit statuer conformément aux formes prévues par le CPP, c'est-à-dire prononcer simultanément une ordonnance pénale d'une part et une ordonnance de classement d'autre part (art. 322 al. 2 CPP; ATF 138 IV 241 consid. 2.5). 3.6.1. En l'espèce, le Ministère public a, dans la même décision, ordonné le classement de la procédure ouverte à l'égard du recourant en tant qu'elle concernait l'infraction à l'art. 19 al. 1 let. c LStup et l'a déclaré coupable de séjour illégal (art. 115 al.1 let. b LEI). Si la distinction entre les faits poursuivis et ceux abandonnés est aisée – dans le dispositif comme dans la motivation –, il n'en va pas de même de la part des frais imputable à chacun de ces volets. Or, le Procureur aurait dû individualiser les frais en lien avec l'ordonnance pénale et en lien avec l'ordonnance de classement, dans la mesure où ils ne pouvaient pas être contestés par une seule et même voie de droit et que leur débiteur devait être en situation d'identifier quel montant avait trait à quel aspect de la procédure et pour quelle raison. En raison de la confusion induite par le prononcé d'une seule décision – en contrariété avec la jurisprudence du Tribunal fédéral –, la Chambre de céans n'est pas en mesure d'exercer son contrôle sur ce point. Il convient dès lors d'annuler le chiffre 9 de la décision attaquée et de renvoyer la cause à l'autorité intimée pour nouvelle décision. 3.6.2. La question de l'indemnisation du prévenu (art. 429 CPP) devant être traitée en relation avec celle des frais (art. 426 CPP) (ATF 137 IV 352 consid. 2.4.2), la Chambre de céans renverra également la cause à l'autorité intimée pour statuer sur ce point.</w:t>
      </w:r>
    </w:p>
    <w:p>
      <w:r>
        <w:rPr>
          <w:b/>
        </w:rPr>
        <w:t>E. 4</w:t>
      </w:r>
    </w:p>
    <w:p>
      <w:r>
        <w:t>L'admission du recours ne donne pas lieu à la perception de frais (art. 428 al. 1 CPP).</w:t>
      </w:r>
    </w:p>
    <w:p>
      <w:r>
        <w:rPr>
          <w:b/>
        </w:rPr>
        <w:t>E. 5</w:t>
      </w:r>
    </w:p>
    <w:p>
      <w:r>
        <w:t>Le recourant, prévenu, qui obtient gain de cause, a sollicité une indemnité pour ses frais de défense occasionnés par la procédure de recours, chiffrée à CHF 1'507.80, TVA comprise, correspondant à 3h30 d'activité à un tarif horaire de CHF 400.-. Compte tenu toutefois des points pertinents de son écriture (soit un recours de 4 pages, page de garde et conclusions comprises, et dont seule 1 page est consacrée à la discussion juridique) et de l'absence de difficulté de la cause, l'indemnité réclamée paraît excessive. Elle sera ainsi ramenée à CHF 861.60 (TVA comprise), correspondant à 2 heures d'activité, au tarif horaire de CHF 400.-. * * * * *</w:t>
      </w:r>
    </w:p>
    <w:p>
      <w:r>
        <w:t>- 8/8 - P/327/2020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