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ACPR/527/2025 vom 24. Mai 2025</w:t>
      </w:r>
    </w:p>
    <w:p>
      <w:r>
        <w:t>GE Cour de justice, 2025-05-24, FR</w:t>
      </w:r>
    </w:p>
    <w:p>
      <w:r>
        <w:rPr>
          <w:b/>
        </w:rPr>
        <w:t xml:space="preserve">Quelle: </w:t>
      </w:r>
      <w:r>
        <w:t>https://mcp.opencaselaw.ch/entscheid/ge_gerichte_ACPR_527_2025</w:t>
      </w:r>
    </w:p>
    <w:p>
      <w:r>
        <w:t>FR: GE_GERICHTE ACPR/527/2025 du 24 mai 2025</w:t>
      </w:r>
    </w:p>
    <w:p>
      <w:r>
        <w:t>IT: GE_GERICHTE ACPR/527/2025 del 24 maggio 2025</w:t>
      </w:r>
    </w:p>
    <w:p>
      <w:pPr>
        <w:pStyle w:val="Heading2"/>
      </w:pPr>
      <w:r>
        <w:t>Erwägungen</w:t>
      </w:r>
    </w:p>
    <w:p>
      <w:r>
        <w:rPr>
          <w:b/>
        </w:rPr>
        <w:t>E. 1</w:t>
      </w:r>
    </w:p>
    <w:p>
      <w:r>
        <w:t>Le recours est recevable pour avoir été déposé selon la forme et dans le délai prescrits (art. 385 al. 1 et 396 al. 1 CPP), concerner une ordonnance sujette à recours auprès de la Chambre de céans (art. 393 al. 1 let. a CPP) et émaner du prévenu, partie à la procédure (art. 104 al. 1 let. a CPP), qui a un intérêt juridiquement protégé à l'annulation ou à la modification de la décision querellée (art. 382 al. 1 CPP).</w:t>
      </w:r>
    </w:p>
    <w:p>
      <w:r>
        <w:rPr>
          <w:b/>
        </w:rPr>
        <w:t>E. 2</w:t>
      </w:r>
    </w:p>
    <w:p>
      <w:r>
        <w:t>Le recourant s'oppose à l'établissement de son profil d'ADN.</w:t>
      </w:r>
    </w:p>
    <w:p>
      <w:r>
        <w:rPr>
          <w:b/>
        </w:rPr>
        <w:t>E. 2.1</w:t>
      </w:r>
    </w:p>
    <w:p>
      <w:r>
        <w:t>Comme toute mesure de contrainte, le prélèvement d'un échantillon d'ADN et l'établissement d'un profil d'ADN sont de nature à porter atteinte au droit à la liberté personnelle (art. 10 al. 2 Cst.) et à la protection contre l'emploi abusif de données personnelles (art. 13 al. 2 Cst. et 8 CEDH; ATF 147 I 372 consid. 2.2; 145 IV 263 consid. 3.4). Ces mesures doivent ainsi être fondées sur une base légale suffisamment claire et précise, être justifiées par un intérêt public et être proportionnées au but visé (cf. art. 36 al. 1 à 3 Cst.; ATF 147 I 372 consid. 2.3.3). L'art. 197 al. 1 CPP rappelle ces principes en précisant que des mesures de contrainte ne peuvent être prises que si elles sont prévues par la loi (let. a), si des soupçons suffisants laissent présumer une infraction (let. b), si les buts poursuivis ne peuvent pas être atteints par des mesures moins sévères (let. c) et si elles apparaissent justifiées au regard de la gravité de l'infraction (let. d).</w:t>
      </w:r>
    </w:p>
    <w:p>
      <w:r>
        <w:rPr>
          <w:b/>
        </w:rPr>
        <w:t>E. 2.2</w:t>
      </w:r>
    </w:p>
    <w:p>
      <w:r>
        <w:t>Selon l'art. 255 CPP, l'établissement d'un tel profil peut être ordonné sur le prévenu pour élucider un crime ou un délit, qu'il s'agisse de celui pour lequel l'instruction est en cours (al. 1) ou d'autres infractions (al. 1bis), passées ou futures, qui sont encore inconnues des autorités (ATF 147 I 372 consid. 2.1; arrêt du Tribunal fédéral 7B_152/2023 du 2 juillet 2024 consid. 2.1.2).</w:t>
      </w:r>
    </w:p>
    <w:p>
      <w:r>
        <w:rPr>
          <w:b/>
        </w:rPr>
        <w:t>E. 2.3</w:t>
      </w:r>
    </w:p>
    <w:p>
      <w:r>
        <w:t>L'établissement d'un profil d'ADN destiné à élucider des crimes ou délits passés/futurs n'est proportionné que s'il existe des indices sérieux et concrets que le prévenu pourrait être impliqué dans d'autres infractions, mêmes futures. Il doit toutefois s'agir d'infractions d'une certaine gravité (ATF 147 I 372 consid. 4.2; 145 IV 263 consid. 3.4; arrêts du Tribunal fédéral 1B_259/2022 du 23 juin 2023 consid. 4.3; 1B_217/2022 du 15 mai 2023 consid. 3.1). Il convient à cet égard également de prendre en considération les éventuels antécédents du prévenu; l'absence d'antécédents n'empêche pas encore de prélever un échantillon et d'établir le profil d'ADN de celui-ci, mais il faudra tenir compte de cet élément dans la pesée d'intérêts à réaliser (ATF 145 IV 263 consid. 3.4 et les références citées; arrêts du Tribunal fédéral 1B_259/2022 du 23 juin 2023 consid. 4.3; 1B_230/2022 du 7 septembre 2022 consid. 2.2).</w:t>
      </w:r>
    </w:p>
    <w:p>
      <w:r>
        <w:rPr>
          <w:b/>
        </w:rPr>
        <w:t>E. 2.4</w:t>
      </w:r>
    </w:p>
    <w:p>
      <w:r>
        <w:t>En l'espèce, l'établissement du profil d'ADN du recourant a été ordonné pour élucider, non pas les infractions à la LEI reprochées dans le cadre de la présente procédure, mais d'autres éventuels actes contraires à l'art. 19 al. 1 LStup, dès lors qu'il</w:t>
      </w:r>
    </w:p>
    <w:p>
      <w:r>
        <w:t>- 5/8 - P/11898/2025 a déjà été soupçonné pour de tels faits et même condamné pour cela le 17 novembre 2024, même si la condamnation en question n'est pas encore entrée en force. Peu importe dès lors que son casier judiciaire ne mentionne aucune condamnation définitive. Il existe ainsi des indices sérieux et concrets de la commission, par le recourant, de tels actes punissables. À cela s'ajoute la situation personnelle précaire de l'intéressé qui laisse craindre un ancrage dans la délinquance liée aux stupéfiants et permet de penser qu'il pourrait être impliqué dans d'autres infractions à la LStup encore inconnues des autorités, qui pourraient lui être attribuées si l'on était en mesure de comparer son profil d'ADN à des traces prélevées sur les lieux de leurs commissions. Enfin, les infractions à la LStup susceptibles d'être élucidées revêtent une certaine gravité eu égard à la santé publique. Il s'agit d'ailleurs d'un des cas expressément listés par la Directive A.5 du Procureur général (cf. n. 4.3) qui, bien que n'ayant pas force de loi, est fondée sur l'art. 255 al. 1bis CPP, lequel autorise l'établissement d'un profil d'ADN pour les infractions passées. Partant, la mesure querellée n'apparaît ni arbitraire ni disproportionnée. À titre superfétatoire, le recourant ne saurait tirer argument du fait que son profil d'ADN aurait d'ores et déjà été établi. Dès lors que les profils d'ADN sont soumis à effacement après un certain délai (cf. art. 16 de la Loi sur les profils d'ADN; RS 363), il existerait un intérêt, quand bien même l'établissement de son profil d'ADN aurait déjà été ordonné et son effacement n'interviendrait pas avant de nombreuses années, à le soumettre derechef à cette mesure, pour autant bien évidemment que les conditions soient à nouveau réalisées, ce qui est le cas en l'espèce. Cet intérêt public primerait celui – privé – du recourant à ce que son profil d'ADN ne soit pas établi une nouvelle fois. Ainsi, quand bien même le Ministère public aurait, dans de telles circonstances, ordonné une nouvelle fois l'établissement du profil d'ADN du recourant, un tel acte n'apparaitrait nullement disproportionné. En définitive, l'ordonnance querellée ne prête pas le flanc à la critique, les réquisits pour le prononcé de l'établissement du profil d'ADN du recourant étant réunis.</w:t>
      </w:r>
    </w:p>
    <w:p>
      <w:r>
        <w:rPr>
          <w:b/>
        </w:rPr>
        <w:t>E. 3</w:t>
      </w:r>
    </w:p>
    <w:p>
      <w:r>
        <w:t>Justifiée, l'ordonnance querellée sera donc confirmée. Le recours, qui s'avère mal fondé, pouvait d'emblée être traité sans échange d'écritures ni débats (art. 390 al. 2 et</w:t>
      </w:r>
    </w:p>
    <w:p>
      <w:r>
        <w:rPr>
          <w:b/>
        </w:rPr>
        <w:t>E. 5</w:t>
      </w:r>
    </w:p>
    <w:p>
      <w:r>
        <w:t>Corrélativement, aucun dépens ne lui sera alloué (ATF 144 IV 207 consid. 1.8.2).</w:t>
      </w:r>
    </w:p>
    <w:p>
      <w:r>
        <w:t>- 6/8 - P/11898/2025 * * * * *</w:t>
      </w:r>
    </w:p>
    <w:p>
      <w:r>
        <w:t>- 7/8 - P/11898/2025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