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ACPR/522/2020 vom 30. Juli 2020</w:t>
      </w:r>
    </w:p>
    <w:p>
      <w:r>
        <w:t>GE Cour de justice, 2020-07-30, FR</w:t>
      </w:r>
    </w:p>
    <w:p>
      <w:r>
        <w:rPr>
          <w:b/>
        </w:rPr>
        <w:t xml:space="preserve">Quelle: </w:t>
      </w:r>
      <w:r>
        <w:t>https://mcp.opencaselaw.ch/entscheid/ge_gerichte_ACPR_522_2020</w:t>
      </w:r>
    </w:p>
    <w:p>
      <w:r>
        <w:t>FR: GE_GERICHTE ACPR/522/2020 du 30 juillet 2020</w:t>
      </w:r>
    </w:p>
    <w:p>
      <w:r>
        <w:t>IT: GE_GERICHTE ACPR/522/2020 del 30 luglio 2020</w:t>
      </w:r>
    </w:p>
    <w:p>
      <w:pPr>
        <w:pStyle w:val="Heading2"/>
      </w:pPr>
      <w:r>
        <w:t>Erwägungen</w:t>
      </w:r>
    </w:p>
    <w:p>
      <w:r>
        <w:rPr>
          <w:b/>
        </w:rPr>
        <w:t>E. 1.1</w:t>
      </w:r>
    </w:p>
    <w:p>
      <w:r>
        <w:t>Lorsque, comme en l'espèce, un magistrat du tribunal de première instance est concerné par une demande de récusation au sens de l'art. 56 let. a ou f CPP, le litige est tranché, sans administration supplémentaire de preuves et définitivement, par l'autorité de recours (art. 59 al. 1 let. b CPP). À Genève, le Tribunal correctionnel – parce qu'il est une section du Tribunal pénal selon l'intitulé du titre III de la 2ème partie de la LOJ (art. 97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rPr>
          <w:b/>
        </w:rPr>
        <w:t>E. 1.2</w:t>
      </w:r>
    </w:p>
    <w:p>
      <w:r>
        <w:t>Déposées peu après la connaissance des motifs de récusation, les demandes ont été formées dans le délai requis à l'art. 58 al. 1 CPP.</w:t>
      </w:r>
    </w:p>
    <w:p>
      <w:r>
        <w:rPr>
          <w:b/>
        </w:rPr>
        <w:t>E. 1.3</w:t>
      </w:r>
    </w:p>
    <w:p>
      <w:r>
        <w:t>La magistrate concernée a pris position sur les demandes (art. 58 al. 2 CPP).</w:t>
      </w:r>
    </w:p>
    <w:p>
      <w:r>
        <w:rPr>
          <w:b/>
        </w:rPr>
        <w:t>E. 2.1</w:t>
      </w:r>
    </w:p>
    <w:p>
      <w:r>
        <w:t>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L'impartialité subjective d'un magistrat se présume jusqu'à preuve du contraire (CourEDH Lindon, § 76 ; ATF 136 III 605 consid. 3.2.1 p. 609 ; arrêt du Tribunal fédéral 6B_621/2011 du 19 décembre 2011 ; N. SCHMID, Schweizerische Strafprozessordnung, 2009, n. 14 ad art. 56). Les impressions purement individuelles</w:t>
      </w:r>
    </w:p>
    <w:p>
      <w:r>
        <w:t>- 11/14 - PS/30/2020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2.2</w:t>
      </w:r>
    </w:p>
    <w:p>
      <w:r>
        <w:t>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 Reprocher à une autorité de faire son travail ne constitue pas non plus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1B______/2019 et 1B______/2019 du ______ 2019 consid. 3.4.1).</w:t>
      </w:r>
    </w:p>
    <w:p>
      <w:r>
        <w:rPr>
          <w:b/>
        </w:rPr>
        <w:t>E. 2.3</w:t>
      </w:r>
    </w:p>
    <w:p>
      <w:r>
        <w:t>En l'espèce, en tant que le requérant reproche à la citée d'avoir rejeté ses réquisitions de preuve – soit l'audition de témoins et la production de pièces –, ainsi que sa demande d'expertise des loyers, il critique les décisions prises par la magistrate en sa qualité de direction de la procédure. Il a pourtant pu formuler à nouveau ses requêtes au Tribunal correctionnel, sous forme de questions préjudicielles, à l'ouverture des débats (art. 339 al. 2 CPP). Le fait qu'il n'ait pas obtenu gain de cause sur ce point devant l'instance de jugement, ne fonde pas un motif de récusation contre la magistrate citée. Si erreur il y a, la juridiction d'appel pourra la rectifier. On ne décèle pas non plus de comportement contradictoire ou déloyal, de nature à rendre la magistrate suspecte de prévention, dans le fait qu'elle ait considéré inutile, pour l'examen de la condition subjective de punissabilité du faux dans les titres, la question de savoir si les loyers litigieux étaient ou non abusifs, tout en considérant cette question pertinente sous l'angle de l'éventuelle faute, et la peine, et qu'elle ait dès lors voulu rassembler les documents utiles en vue d'un calcul selon la méthode du rendement. Si le requérant n'était pas d'accord avec ce raisonnement, souhaitait produire des pièces complémentaires et/ou réfutait cette méthode de calcul au profit de celle comparant les loyers usuels du quartier, il était en mesure de faire valoir ses arguments devant le Tribunal correctionnel, juridiction collégiale (art. 97 LOJ), ce</w:t>
      </w:r>
    </w:p>
    <w:p>
      <w:r>
        <w:t>- 12/14 - PS/30/2020 qu'il a du reste fait. Ainsi, les décisions et initiatives prises par la citée avant l'audience de jugement, en sa qualité de direction de la procédure, n'ont ni préjugé du sort de la cause ni empêché le requérant de faire valoir ses moyens de droit devant l'instance de jugement, voire, désormais, devant la Chambre pénale d'appel et de révision. Au vu des principes jurisprudentiels sus-rappelés, les critiques qu'il formule à l'égard des décisions et initiatives prises par la citée ne constituent pas des motifs de récusation. Le requérant reproche enfin à la magistrate d'avoir intentionnellement retardé, durant dix mois, la transmission d'une copie du dossier de la procédure et d'avoir extrait certaines pièces figurant à l'inventaire, sans lui donner la possibilité de se déterminer ni de consulter le reste des pièces inventoriées. Indépendamment de la question de savoir dans quelles circonstances la transmission du dossier au requérant a été retardée et s'il a renoncé ou non, les 8 et 15 mai 2020, à consulter les pièces figurant à l'inventaire, il disposait de la faculté – qu'il a utilisée – d'invoquer ces faits, et les moyens de droit y relatifs, devant le Tribunal correctionnel, notamment s'agissant du dossier et des preuves recueillies (art. 339 al. 2 let. d CPP). Il dispose encore de la possibilité de soulever ces questions devant la Chambre pénale d'appel et de révision. On comprend des arguments du requérant, qu'il considère chaque décision et initiative prise par la citée comme une marque de la prévention qu'il lui prête en raison des activités précédemment exercées par celle-ci. Mais, aucune prévention n'ayant été retenue par la Chambre de céans et le Tribunal fédéral en lien avec ces motifs-là, force est de constater que les reproches formulés ici par le requérant, qu'ils soient pris séparément ou dans leur ensemble, se limitent à des questions de procédure pouvant – et devant – être soulevées devant les juges du fond, griefs qui ne fondent pas de motif de récusation.</w:t>
      </w:r>
    </w:p>
    <w:p>
      <w:r>
        <w:rPr>
          <w:b/>
        </w:rPr>
        <w:t>E. 3</w:t>
      </w:r>
    </w:p>
    <w:p>
      <w:r>
        <w:t>En tant qu'il succombe, le requérant supportera les frais de la procédure (art. 59 al. 4 CPP), qui seront fixés en totalité à CHF 1'200.-. * * * * *</w:t>
      </w:r>
    </w:p>
    <w:p>
      <w:r>
        <w:t>- 13/14 - PS/30/2020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