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ACPR/521/2012 vom 26. November 2012</w:t>
      </w:r>
    </w:p>
    <w:p>
      <w:r>
        <w:t>GE Cour de justice, 2012-11-26, FR</w:t>
      </w:r>
    </w:p>
    <w:p>
      <w:r>
        <w:rPr>
          <w:b/>
        </w:rPr>
        <w:t xml:space="preserve">Quelle: </w:t>
      </w:r>
      <w:r>
        <w:t>https://mcp.opencaselaw.ch/entscheid/ge_gerichte_ACPR_521_2012</w:t>
      </w:r>
    </w:p>
    <w:p>
      <w:r>
        <w:t>FR: GE_GERICHTE ACPR/521/2012 du 26 novembre 2012</w:t>
      </w:r>
    </w:p>
    <w:p>
      <w:r>
        <w:t>IT: GE_GERICHTE ACPR/521/2012 del 26 novembre 2012</w:t>
      </w:r>
    </w:p>
    <w:p>
      <w:pPr>
        <w:pStyle w:val="Heading2"/>
      </w:pPr>
      <w:r>
        <w:t>Erwägungen</w:t>
      </w:r>
    </w:p>
    <w:p>
      <w:r>
        <w:rPr>
          <w:b/>
        </w:rPr>
        <w:t>E. 1</w:t>
      </w:r>
    </w:p>
    <w:p>
      <w:r>
        <w:t>1.1. Interjeté dans les délai et forme prévus par la loi (art. 385 al. 1 et 396 al. 1 CPP), devant l’autorité compétente, soit la Chambre de céans (art. 393 CPP ; art. 127 et 128 LOJ/GE), le prévenu ayant qualité de partie à la procédure (art. 104 al. 1 lit. a CPP), le recours est, de ce point de vue, recevable.</w:t>
      </w:r>
    </w:p>
    <w:p>
      <w:r>
        <w:rPr>
          <w:b/>
        </w:rPr>
        <w:t>E. 1.2</w:t>
      </w:r>
    </w:p>
    <w:p>
      <w:r>
        <w:t>Aux termes de l'art. 382 al. 1 CPP, toute partie qui a un intérêt juridiquement protégé à l'annulation ou à la modification d'une décision a qualité pour recourir contre celle-ci. En tant que partie à la procédure pénale, le prévenu dispose, en principe, de cette qualité (A. KUHN / Y. JEANNERET (éds), Commentaire romand : Code de procédure pénale suisse, Bâle 2011, n. 7 ad art. 382). Cela étant, dans la mesure où le recourant se prévaut d'un préjudice résidant a priori dans l'existence d'une décision judiciaire le concernant, il doit être touché par celle-ci (A. KUHN / Y. JEANNERET (éds), op. cit., n. 3 ad art. 382). L'intérêt pour recourir doit encore exister postérieurement au prononcé de la décision entreprise (A. KUHN / Y. JEANNERET (éds), op. cit., n. 3 ad art. 382).</w:t>
      </w:r>
    </w:p>
    <w:p>
      <w:r>
        <w:rPr>
          <w:b/>
        </w:rPr>
        <w:t>E. 2</w:t>
      </w:r>
    </w:p>
    <w:p>
      <w:r>
        <w:t>La Chambre de céans peut décider de rejeter les recours manifestement mal fondés, sans demande d'observations à l'autorité intimée ni débats (art. 390 al. 2, première phrase, a contrario, CPP). Tel est le cas du présent recours, pour les motifs énoncés ci-dessous.</w:t>
      </w:r>
    </w:p>
    <w:p>
      <w:r>
        <w:rPr>
          <w:b/>
        </w:rPr>
        <w:t>E. 3</w:t>
      </w:r>
    </w:p>
    <w:p>
      <w:r>
        <w:t>3.1. A teneur de l'art. 134 al. 2 CPP, si la relation de confiance entre le prévenu et le défenseur d'office est gravement perturbée ou si une défense efficace n'est plus assurée pour d'autres raisons, la direction de la procédure confie la défense d'office à une autre personne. Selon la jurisprudence, le refus de désigner un avocat d'office à un prévenu est susceptible de lui causer un dommage irréparable au sens de l'art. 93 al. 1 let. a LTF (ATF 133 IV 335 consid. 4 p. 338; 129 I 281 consid. 1.1 p. 283; 129 I 129 consid. 1.1 p.</w:t>
      </w:r>
    </w:p>
    <w:p>
      <w:r>
        <w:t>- 4/7 - P/7579/2012 131). En revanche, la décision ayant pour objet de refuser un changement de défenseur d'office n'entraîne en principe aucun préjudice juridique, car le prévenu continue d'être assisté par le défenseur désigné et l'atteinte à la relation de confiance n'empêche en règle générale pas dans une telle situation une défense efficace (ATF 133 IV 335 consid. 4 p. 339).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(ATF 135 I 261 consid. 1.2 p. 263), ou encore lorsque l'autorité refuse arbitrairement de tenir compte des vœux émis par la partie assistée (arrêts 1B_74/2008 du 18 juin 2008 consid. 2; 1B_245/2008 du 11 novembre 2008 consid. 2).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114 Ia 101 consid. 3 p. 104; arrêts du Tribunal fédéral 6B_770/2011 du 12 juillet 2012 consid. 2.4 destiné à la publication et 1B_375 2012 du 15 août 2012 consid. 1.1). Par ailleurs, il appartient à l'avocat d'office de décider de la conduite du procès et qu'il ou elle ne saurait se faire le simple interprète des sentiments et des arguments de son client (ATF 116 Ia 102 : JT 1993 IV 186).</w:t>
      </w:r>
    </w:p>
    <w:p>
      <w:r>
        <w:rPr>
          <w:b/>
        </w:rPr>
        <w:t>E. 3.2</w:t>
      </w:r>
    </w:p>
    <w:p>
      <w:r>
        <w:t>En l'occurrence, il résulte des renseignements fournis par la Direction de la prison de Champ-Dollon à la Chambre de céans que l'affirmation du prévenu concernant l'absence de visite de son conseil dans cet établissement est contraire à la réalité. Cette "inexactitude" permet de douter fortement de la véracité du grief du recourant au sujet de la remise partielle du dossier par son défenseur d'office, ce d'autant plus qu'aucun indice probant et précis n'est avancé par le prévenu à cet égard. Serait-il exact que ce reproche ne saurait de toute façon pas être considéré comme un élément susceptible de faire craindre que l'avocat d'office désigné ne puisse pas défendre efficacement les intérêts du prévenu. Ce dernier ne le soutient du reste pas. De même, le recourant ne fournit pas le moindre élément à même d'établir, voire de rendre vraisemblable, le prétendu total désintérêt pour sa cause de la part de son avocat nommé d'office. L'affirmation contraire à la réalité du prévenu quant à l'absence de visite de son conseil à la prison amène également à s'interroger sur le bien-fondé des ordonnances du Ministère public et du Tribunal pénal dont se prévaut à cet égard le recourant, dans la mesure où ces décisions sont toutes fondées sur l'acceptation de la rupture, ou présomption de rupture, du lien de confiance alléguée par les prévenus à l'égard des défenseurs qui leur ont été nommés d'office, sans comporter le moindre examen - pourtant requis par les critères énoncés à l'art. 134 al. 2 CPP et la jurisprudence y relative - de la véracité des griefs invoqués à cet égard par lesdits prévenus.</w:t>
      </w:r>
    </w:p>
    <w:p>
      <w:r>
        <w:t>- 5/7 - P/7579/2012 Quoi qu'il en soit, en l'occurrence, point n'est besoin de longs développements pour constater le caractère infondé, et téméraire, de la requête en remplacement de son défenseur d'office sollicité par le recourant - relayée sans la moindre vérification par l'avocat rédacteur du présent recours, à tel point que l'on peut se demander si elle ne relèverait pas de la captation de mandat -, dès lors qu'il apparaît que la relation de confiance entre le prévenu et ledit défenseur d'office n'est, de toute évidence, pas perturbée, a fortiori gravement, au point d'imposer un changement d'avocat. Dès lors, le Ministère public n'avait pas à confier la défense d'office du prévenu à une autre conseil et la décision querellée doit être confirmée. Il découle ainsi de l'ensemble des éléments susmentionnés que le recourant ne subit aucun préjudice quelconque du fait du refus de remplacer l'avocat désigné d'office par le Tribunal correctionnel, de sorte qu'il n'a pas d'intérêt juridique protégé à l'annulation d'une telle décision au sens de l'art 382 al. 1 CPP et, partant, pas la qualité pour recourir à cet égard. Le recours est ainsi irrecevable.</w:t>
      </w:r>
    </w:p>
    <w:p>
      <w:r>
        <w:rPr>
          <w:b/>
        </w:rPr>
        <w:t>E. 4</w:t>
      </w:r>
    </w:p>
    <w:p>
      <w:r>
        <w:t>En tant qu'il succombe, le recourant supportera les frais de la procédure de recours (art. 428 al. 1 CPP).</w:t>
      </w:r>
    </w:p>
    <w:p>
      <w:r>
        <w:rPr>
          <w:b/>
        </w:rPr>
        <w:t>E. 5</w:t>
      </w:r>
    </w:p>
    <w:p>
      <w:r>
        <w:t>Le présent arrêt sera communiqué, pour information, à Me C______.</w:t>
      </w:r>
    </w:p>
    <w:p>
      <w:r>
        <w:t>* * * * *</w:t>
      </w:r>
    </w:p>
    <w:p>
      <w:r>
        <w:t>- 6/7 - P/7579/2012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