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ACPR/520/2026 vom 28. Mai 2026</w:t>
      </w:r>
    </w:p>
    <w:p>
      <w:r>
        <w:t>GE Cour de justice, 2026-05-28, FR</w:t>
      </w:r>
    </w:p>
    <w:p>
      <w:r>
        <w:rPr>
          <w:b/>
        </w:rPr>
        <w:t xml:space="preserve">Quelle: </w:t>
      </w:r>
      <w:r>
        <w:t>https://mcp.opencaselaw.ch/entscheid/ge_gerichte_ACPR_520_2026</w:t>
      </w:r>
    </w:p>
    <w:p>
      <w:r>
        <w:t>FR: GE_GERICHTE ACPR/520/2026 du 28 mai 2026</w:t>
      </w:r>
    </w:p>
    <w:p>
      <w:r>
        <w:t>IT: GE_GERICHTE ACPR/520/2026 del 28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précité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précité consid. 4.2; 145 IV 263 précité consid. 3.4; arrêts du Tribunal fédéral 1B_259/2022 du 23 juin 2023</w:t>
      </w:r>
    </w:p>
    <w:p>
      <w:r>
        <w:t>- 5/10 - P/7177/2026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précité consid. 3.4 et les références citées; arrêts du Tribunal fédéral 7B_584/2025 du 9 mars 2026 consid. 2.2.4; 7B_529/2025 du 26 janvier 2026 consid. 3.1.3; 1B_259/2022 précité consid. 4.3; 1B_230/2022 du</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constitutifs de délit à la LStup, dès lors qu'il avait déjà été soupçonné pour recel et pour des infractions à la LStup. Force est de constater qu'il existe, en effet, des indices sérieux et concrets de la commission, par le recourant, de tels actes punissables. En effet, l'intéressé ne conteste pas avoir, dans la présente procédure, vendu de la cocaïne à un policier acheteur (agent exécutant). Il ressort en outre de son casier judiciaire suisse qu'il fait l'objet d'une autre procédure pénale, dans laquelle il est renvoyé en jugement notamment pour des délits à la LStup, soit en lien avec des agissements qui dépassent la simple consommation personnelle. Lors de son audition dans la présente procédure, le recourant a d'ailleurs admis avoir déjà vendu de la drogue (cf. B.d. supra). Ces soupçons antérieurs, survenus en un laps de temps relativement court, auxquels s'ajoute le contexte personnel du recourant – en particulier son retour en Suisse où il ne dispose pas d'autorisation de séjour et les fortes sommes d'argent retrouvées sur lui, même s'il dit, sans le démontrer, les avoir perçues légalement en Italie – laissent</w:t>
      </w:r>
    </w:p>
    <w:p>
      <w:r>
        <w:t>- 6/10 - P/7177/2026 craindre un ancrage dans la délinquance liée aux stupéfiants. De telles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La présente situation n'est pas comparable à celle que le Tribunal fédéral a été amené à trancher récemment (arrêt 7B_529/2026 du 26 janvier 2026). Dans cette affaire, l'intéressé n'avait aucune condamnation pour infraction inscrite à son casier judiciaire, qui était vierge (cf. consid. 3.4.3), tandis qu'en l'espèce, le recourant a été condamné pour entrée et séjour illégaux ainsi que pour empêchement d'accomplir un acte officiel, et il est actuellement renvoyé en jugement (dans la procédure P/1______/2024) pour délit contre la LStup et pour recel. L'ensemble de ces éléments renforcent ainsi les soupçons de son implication dans un trafic de stupéfiants. Pour le surplus,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(arrêt du Tribunal fédéral 7B_584/2025 du 9 mars 2026 consid. 2.5). Le recourant soutient qu'ordonner un nouvel établissement de son profil d'ADN alors qu'un tel profil, immuable, avait déjà été établi par le passé, serait arbitraire. La Chambre de céans est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- 7/10 - P/7177/2026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20 mars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 4. Justifiée, l'ordonnance querellée sera donc confirmée. 5. Le recourant, qui plaide au bénéfice d'une défense d'office, succombe. Il supportera ainsi les frais envers l'État, fixés en totalité à CHF 600.- (art. 428 al. 1 CPP et 13 al. 1 du Règlement fixant le tarif des frais en matière pénale, RTFMP; E 4 10.03), étant précisé que l'autorité de recours est tenue de dresser un état de frais pour la procédure</w:t>
      </w:r>
    </w:p>
    <w:p>
      <w:r>
        <w:t>- 8/10 - P/7177/2026 de deuxième instance, sans égard à l'obtention de l'assistance judiciaire (arrêts du Tribunal fédéral 1B_372/2014 du 8 avril 2015 consid. 4.6 et 1B_203/2011 du 18 mai 2011 consid. 4). 6. Dans la mesure où la procédure se poursuit, l’indemnité de son défenseur d’office sera fixée à la fin de la procédure (cf. art. 135 al. 2 CPP). * * * * *</w:t>
      </w:r>
    </w:p>
    <w:p>
      <w:r>
        <w:t>- 9/10 - P/7177/2026</w:t>
      </w:r>
    </w:p>
    <w:p>
      <w:r>
        <w:rPr>
          <w:b/>
        </w:rPr>
        <w:t>E. 7</w:t>
      </w:r>
    </w:p>
    <w:p>
      <w:r>
        <w:t>septembre 2022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