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ACPR/520/2024 vom 25. April 2024</w:t>
      </w:r>
    </w:p>
    <w:p>
      <w:r>
        <w:t>GE Cour de justice, 2024-04-25, FR</w:t>
      </w:r>
    </w:p>
    <w:p>
      <w:r>
        <w:rPr>
          <w:b/>
        </w:rPr>
        <w:t xml:space="preserve">Quelle: </w:t>
      </w:r>
      <w:r>
        <w:t>https://mcp.opencaselaw.ch/entscheid/ge_gerichte_ACPR_520_2024</w:t>
      </w:r>
    </w:p>
    <w:p>
      <w:r>
        <w:t>FR: GE_GERICHTE ACPR/520/2024 du 25 avril 2024</w:t>
      </w:r>
    </w:p>
    <w:p>
      <w:r>
        <w:t>IT: GE_GERICHTE ACPR/520/2024 del 25 aprile 2024</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w:t>
      </w:r>
    </w:p>
    <w:p>
      <w:r>
        <w:rPr>
          <w:b/>
        </w:rPr>
        <w:t>E. 2</w:t>
      </w:r>
    </w:p>
    <w:p>
      <w:r>
        <w:t>Le recourant allègue une constatation erronée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Le recourant se plaint de la violation du principe de la célérité en raison de la durée excessive de l’enquête.</w:t>
      </w:r>
    </w:p>
    <w:p>
      <w:r>
        <w:rPr>
          <w:b/>
        </w:rPr>
        <w:t>E. 3.1</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Selon la jurisprudence, il doit s'agir d'un manquement particulièrement grave, faisant au surplus apparaître que l'autorité de poursuite n'est plus en mesure de conduire la procédure à chef dans un délai raisonnable (ATF 140 IV 74 consid. 3.2; 137 IV 118 consid. 2.1 ; cf. arrêt du Tribunal fédéral 7B_43/2024 du 4 mars 2024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arrêt du Tribunal fédéral 7B_43/2024 du 4 mars 2024 consid. 3.2.).</w:t>
      </w:r>
    </w:p>
    <w:p>
      <w:r>
        <w:rPr>
          <w:b/>
        </w:rPr>
        <w:t>E. 3.2</w:t>
      </w:r>
    </w:p>
    <w:p>
      <w:r>
        <w:t>En l'occurrence, le recourant est soupçonné d'être impliqué dans un très important trafic de stupéfiants portant sur plus de 170 kilos de produits cannabiques et plusieurs kilos de cocaïne. Il conteste l'essentiel des faits. L'enquête a nécessité de nombreuses auditions et l'analyse des téléphones saisis, à laquelle s'est ajoutée celle des conversations du prévenu depuis la prison. On ne décèle pas de retard dans cette</w:t>
      </w:r>
    </w:p>
    <w:p>
      <w:r>
        <w:t>- 6/10 - P/12759/2023 activité soutenue, laquelle doit, selon les observations du Ministère public, encore se poursuivre, y compris en lien avec les faits reprochés à la compagne du recourant et à la mère de celle-ci, et le recourant n’en disconvient pas. Partant, le grief en lien avec la violation du principe de la célérité est infondé.</w:t>
      </w:r>
    </w:p>
    <w:p>
      <w:r>
        <w:rPr>
          <w:b/>
        </w:rPr>
        <w:t>E. 4</w:t>
      </w:r>
    </w:p>
    <w:p>
      <w:r>
        <w:t>Le recourant considère que les refus de visite et de téléphone violent ses droits fondamentaux et le principe de la proportionnalité.</w:t>
      </w:r>
    </w:p>
    <w:p>
      <w:r>
        <w:rPr>
          <w:b/>
        </w:rPr>
        <w:t>E. 4.1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l'art. 36 Cst., les restrictions à ces droits doivent reposer sur une base légale et ne pas aller au-delà de ce qui est nécessaire au but de l'incarcération et au fonctionnement de l'établissement de détention (ATF 145 I 318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arrêt 1B_202/2016 du 14 juillet 2016 consid. 2.2). Les garanties de la CEDH relatives aux conditions de détention n'offrent pas une protection plus étendue que celles garanties par la Constitution fédérale (ATF 145 I 318 consid. 2.1 et 143 I 241 consid. 3.4).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w:t>
      </w:r>
    </w:p>
    <w:p>
      <w:r>
        <w:t>- 7/10 - P/12759/2023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 risque de collusion est – quoi qu'en dise le recourant – réalisé de manière très concrète. Sa compagne, F______, est également prévenue dans le trafic en cause, y compris pour avoir, après son arrestation (à lui), récupéré des stupéfiants, en avoir vendu, et avoir déplacé et dissimulé des biens achetés avec le produit dudit trafic. Or, il apparait que – malgré l'interdiction formelle qui lui a été faite de parler à son compagnon – elle a eu une conversation téléphonique avec lui par l'intermédiaire de E______, lequel bénéficiait d'une telle autorisation. En outre, il était prévu qu'elle rencontre le frère du prévenu, seul autorisé à le voir en prison, avant que E______ ne vienne la voir pour qu'elle lui dise un "truc qu'il comprendra[it]". Dans ces circonstances, il importe peu que les proches en question ne soient pas impliqués dans les faits reprochés puisque les manœuvres décrites ci-dessus sont de nature à entraver la recherche de la vérité. Il n'est pas non plus nécessaire, à ce stade, de déterminer si de la drogue serait susceptible d'être livrée en prison et, le cas échéant, si des mesures – telles que les fouilles proposées par le recourant – pourraient être utiles. En l'état de la procédure, le risque de collusion est très important et justifie la restriction des relations personnelles entre le prévenu et certains de ses proches; elle reste proportionnée dans la mesure où le recourant bénéficie des autorisations de correspondances.</w:t>
      </w:r>
    </w:p>
    <w:p>
      <w:r>
        <w:t>- 8/10 - P/12759/2023</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w:t>
      </w:r>
    </w:p>
    <w:p>
      <w:r>
        <w:rPr>
          <w:b/>
        </w:rPr>
        <w:t>E. 7</w:t>
      </w:r>
    </w:p>
    <w:p>
      <w:r>
        <w:t>L'indemnité du défenseur d'office du recourant, qui fait partie des frais de procédure (art. 422 al. 2 let. a CPP), sera fixée à la fin de la procédure (art. 135 al. 2 CPP). * * * * *</w:t>
      </w:r>
    </w:p>
    <w:p>
      <w:r>
        <w:t>- 9/10 - P/12759/2023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