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ACPR/51/2020 vom 19. Juli 2019</w:t>
      </w:r>
    </w:p>
    <w:p>
      <w:r>
        <w:t>GE Cour de justice, 2019-07-19, FR</w:t>
      </w:r>
    </w:p>
    <w:p>
      <w:r>
        <w:rPr>
          <w:b/>
        </w:rPr>
        <w:t xml:space="preserve">Quelle: </w:t>
      </w:r>
      <w:r>
        <w:t>https://mcp.opencaselaw.ch/entscheid/ge_gerichte_ACPR_51_2020</w:t>
      </w:r>
    </w:p>
    <w:p>
      <w:r>
        <w:t>FR: GE_GERICHTE ACPR/51/2020 du 19 juillet 2019</w:t>
      </w:r>
    </w:p>
    <w:p>
      <w:r>
        <w:t>IT: GE_GERICHTE ACPR/51/2020 del 19 luglio 2019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 arrêt 6B_307/2019 du 13 novembre 2019 destiné à la publication).</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sollicitent une nouvelle expertise ou, à tout le moins, un complément de celle qui figure au dossier.</w:t>
      </w:r>
    </w:p>
    <w:p>
      <w:r>
        <w:rPr>
          <w:b/>
        </w:rPr>
        <w:t>E. 3.1</w:t>
      </w:r>
    </w:p>
    <w:p>
      <w:r>
        <w:t>A teneur de l'art. 189 CPP, la direction de la procédure fait, d'office ou à la demande d'une partie, compléter ou clarifier une expertise par le même expert ou désigne un nouvel expert dans les cas suivants : l'expertise est incomplète ou peu claire (let. a); plusieurs experts divergent notablement dans leurs conclusions (let. b); l'exactitude de l'expertise est mise en doute (let. c). La jurisprudence développée sous l'égide de l'ancien code de procédure pénale genevoise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"raisons sérieuses de douter du bien-fondé" de la première expertise; il n'existait pas de droit à une pluralité d'expertises (OCA/37/2002 du 7 février 2002 consid. 4; OCA/28/2002 du 30 janvier 2002 consid. 2; OCA/36/2000 du 9 février 2000; G. PIQUEREZ, Procédure pénale suisse, 2ème édition, 2007, p. 421 no 625-626; HARARI/ROTH/</w:t>
      </w:r>
    </w:p>
    <w:p>
      <w:r>
        <w:t>- 12/18 - P/9345/2017 STRAULI, Chronique de procédure pénale genevoise 1986-1989, SJ 1990 p. 448; DINICHERT/ BERTOSSA/ GAILLARD, Procédure pénale genevoise,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(ACPR/233/2014 du 6 mai 2014; G. PIQUEREZ, ibidem).</w:t>
      </w:r>
    </w:p>
    <w:p>
      <w:r>
        <w:rPr>
          <w:b/>
        </w:rPr>
        <w:t>E. 3.2</w:t>
      </w:r>
    </w:p>
    <w:p>
      <w:r>
        <w:t>En l'espèce, rien ne permet de mettre en doute les conclusions des experts, lesquels ont été longuement entendus et n'ont pas modifié leurs conclusions ni été mis en face de contradiction ou mésentente. L'expertise ayant été rendue conformément aux critères précités, il n'y a pas à ordonner une nouvelle expertise ou un complément à celle-ci. La seule référence par les recourants à un examen histologique mentionnant une absence d'artéfacts d'électro-cautérisation ne suffit pas à faire douter de la pertinence des constats des experts ni à mettre en évidence une faute des médecins ayant pratiqué la première intervention ou encore une violation causale par le personnel soignant de ses obligations. En définitive, les recourant n'établissent pas, ni même ne rendent vraisemblable, que l'expertise serait incomplète, peu claire ou qu'il y aurait lieu de douter de son exactitude, au sens de l'art. 189 CPP, de sorte que leur requête sera, sur ce point, rejetée.</w:t>
      </w:r>
    </w:p>
    <w:p>
      <w:r>
        <w:rPr>
          <w:b/>
        </w:rPr>
        <w:t>E. 4</w:t>
      </w:r>
    </w:p>
    <w:p>
      <w:r>
        <w:t>Les recourants considèrent que de forts soupçons peuvent être retenus contre les médecins ayant pratiqué la première opération et que la prise en charge post- opératoire de la patiente s'était révélée défaillante, de sorte qu'il n'était pas possible de prononcer un classement.</w:t>
      </w:r>
    </w:p>
    <w:p>
      <w:r>
        <w:rPr>
          <w:b/>
        </w:rPr>
        <w:t>E. 4.1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w:t>
      </w:r>
    </w:p>
    <w:p>
      <w:r>
        <w:t>- 13/18 - P/9345/2017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4.2.1. L'art. 117 CP réprime le comportement de celui qui, par négligence, aura causé la mort d'une personne.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"seulement" rendu possible ou favorisé (arrêt du Tribunal fédéral 6B_1371/2017 du 22 mai 2018 consid. 1.1). La réalisation de l'infraction suppose la réunion de trois conditions : le décès de la victime, une négligence et un lien de causalité entre cette négligence et la mort (ATF 122 IV 145 consid. 3; arrêt du Tribunal fédéral 6B_170/2017 du 19 octobre 2017 consid. 2.2). 4.2.2.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Pour déterminer concrètement les devoirs découlant de l'obligation de diligence, le juge peut, notamment, se fonder sur des principes généraux ou une expertise. La</w:t>
      </w:r>
    </w:p>
    <w:p>
      <w:r>
        <w:t>- 14/18 - P/9345/2017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Il ne faut toutefois pas perdre de vue que, tant dans le diagnostic que dans la prescription d'une thérapie ou de mesures, le médecin dispose souvent d'une certaine marge d'appréciation. Lorsqu'un traitement ou une opération se révèle après coup comme inapproprié, voire erroné, il ne faut donc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113 II 429 consid. 3a).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 JdT 2005 I 95; ATF 130 IV 7 consid. 3.3 = JdT 2004 I 497). 4.2.3.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w:t>
      </w:r>
    </w:p>
    <w:p>
      <w:r>
        <w:t>- 15/18 - P/9345/2017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 et les références citées).</w:t>
      </w:r>
    </w:p>
    <w:p>
      <w:r>
        <w:rPr>
          <w:b/>
        </w:rPr>
        <w:t>E. 4.3</w:t>
      </w:r>
    </w:p>
    <w:p>
      <w:r>
        <w:t>En l'espèce, il ressort de l'expertise que la prise en charge de la patiente était adéquate, que l'opération du 24 avril 2017 était indiquée, qu'elle avait été effectuée dans les règles de l'art et que l'origine des complications survenues ensuite étaient une perforation intestinale conséquence, dans l'hypothèse la plus probable, d'une lésion thermique de la paroi intestinale en deux temps. Les prises en charge post- opératoires avaient aussi été réalisées de manière adéquate, de même que les procédures non chirurgicales, et rien ne pouvait être reproché aux différents intervenants. Pour leur part, les médecins légistes n'ont pas pu indiquer d'où provenait la perforation, ce qui paraît exclure la possibilité d'une perforation en un temps telle que préconisée par les recourants. Quant à l'absence d'artéfacts d'électro- cautérisation, qui serait selon ceux-ci la démonstration de l'existence d'une lésion directe en un temps, les experts ont exposé que, dans les ruptures en deux temps, un instrument pouvait soit causer une perforation soit toucher la paroi intestinale, mais qu'il n'était pas nécessairement possible en présence d'une perforation de savoir si elle avait été causée par un instrument chaud, car le petit point blanc électrique qui en résultait pouvait être perdu de vue. Ils ont ajouté que, si la perforation était effectuée en un seul temps, même toute petite et invisible, du liquide intestinal s'écoulait, ce qui constituait une alerte et poussait à en chercher les causes. De même, à supposer que la patiente ait été victime d'une perforation en un temps à la fin de l'opération, les médecins l'auraient vue immédiatement. Un autre élément excluait la possibilité d'une perforation en un temps, à savoir le fait que la patiente avait visiblement bien répondu à des antidouleurs qui n'étaient pas très forts alors que, si du jus intestinal s'était écoulé le 24 avril 2017 comme cela fut le cas le surlendemain, ses douleurs auraient été très violentes et les analgésiques n'auraient pas suffi pour la calmer. De plus, elle n'aurait, dans cette hypothèse, pas été en mesure de se lever le soir du 24 avril 2017, après l'opération. Il résulte des constats clairs qui précèdent, que les doutes des recourants n'ébranlent pas, que l'on peut considérer, avec une certitude suffisante pour prononcer un classement, que les éléments constitutifs de l'infraction d'homicide par négligence ne sont pas réunis, que ce soit envers les chirurgiens qui ont pratiqué la première opération ou vis-à-vis des intervenants ultérieurs, qui avaient fait tout leur possible pour enrayer les complications survenues. Le fait que la communication [de l'hôpital]</w:t>
      </w:r>
    </w:p>
    <w:p>
      <w:r>
        <w:t>- 16/18 - P/9345/2017 F______ avec la famille se soit révélée défaillante est regrettable mais n'y change rien. Le recours sera par conséquent rejeté.</w:t>
      </w:r>
    </w:p>
    <w:p>
      <w:r>
        <w:rPr>
          <w:b/>
        </w:rPr>
        <w:t>E. 5</w:t>
      </w:r>
    </w:p>
    <w:p>
      <w:r>
        <w:t>Les recourants, bien qu'au bénéfice de l'assistance judiciaire succombent. Ils supporteront les frais de la procédure, fixés au total à CHF 1'000.-, y compris un émolument de décision (art. 428 al. 1 CPP et 13 al. 1 du Règlement fixant le tarif des frais en matière pénale, RTFMP; E 4 10.03, étant relevé que l'autorité de recours est tenue de taxer les frais même lorsque le justiciable est au bénéfice d'une défense d'office (arrêts du Tribunal fédéral 1B_372/2014 du 8 avril 2015 consid. 4.6 et 1B_203/2011 du 18 mai 2011 consid. 4).</w:t>
      </w:r>
    </w:p>
    <w:p>
      <w:r>
        <w:t>* * * * *</w:t>
      </w:r>
    </w:p>
    <w:p>
      <w:r>
        <w:t>- 17/18 - P/9345/2017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