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ACPR/518/2021 vom 25. Mai 2021</w:t>
      </w:r>
    </w:p>
    <w:p>
      <w:r>
        <w:t>GE Cour de justice, 2021-05-25, FR</w:t>
      </w:r>
    </w:p>
    <w:p>
      <w:r>
        <w:rPr>
          <w:b/>
        </w:rPr>
        <w:t xml:space="preserve">Quelle: </w:t>
      </w:r>
      <w:r>
        <w:t>https://mcp.opencaselaw.ch/entscheid/ge_gerichte_ACPR_518_2021</w:t>
      </w:r>
    </w:p>
    <w:p>
      <w:r>
        <w:t>FR: GE_GERICHTE ACPR/518/2021 du 25 mai 2021</w:t>
      </w:r>
    </w:p>
    <w:p>
      <w:r>
        <w:t>IT: GE_GERICHTE ACPR/518/2021 del 25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1.1</w:t>
      </w:r>
    </w:p>
    <w:p>
      <w:r>
        <w:t>et 6B_819/2008 du 26 décembre 2008 consid. 2.3). On ne voit dès lors pas que la présente cause soulève des questions de fait ou de droit dont l'appréciation dépasse les capacités du recourant (cf. arrêt du Tribunal fédéral 1B_68/2015 du 29 avril 2015 consid. 2.3) étant relevé que, lors d'une précédente condamnation par le Ministère public, une peine d'ensemble a été ordonnée. Le refus de désigner un défenseur d'office à l'intéressé ne viole ainsi pas l'art. 132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 non réalisés ici –, 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w:t>
      </w:r>
    </w:p>
    <w:p>
      <w:r>
        <w:t>- 5/7 - P/15790/2020 le prévenu seul ne pourrait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plus de 4 mois ou d'une peine pécuniaire de plus de 120 jours-amende (art. 132 al. 3 CPP).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3.2</w:t>
      </w:r>
    </w:p>
    <w:p>
      <w:r>
        <w:t>En l'espèce, le recourant est renvoyé en jugement pour avoir séjourné illégalement en Suisse du 2 octobre 2019 au 31 août 2020, puis du 18 septembre 2020 au 4 février 2021, ainsi que pour deux contraventions. La condition de l'indigence, qui paraît plausible au vu des éléments au dossier, n'a pas été examinée par le Tribunal de police. Cette question peut néanmoins demeurer ouverte au vu des considérants qui suivent. La peine encourue, de 120 jours-amende, même augmentée de deux amendes d'un total de CHF 400.- – correspondant à 4 jours de peine privative de liberté de substitution –, reste dans les limites de ce que l'on peut encore qualifier de cas de peu de gravité. Quoi qu'il en soit, la seconde condition – cumulative – de l'art. 132 al. 2 CPP n'est pas réunie non plus. En effet, l'affaire ne revêt pas de difficultés particulières en fait ou en droit propres à justifier l'intervention d'un avocat. Le recourant a déjà été condamné plusieurs fois pour séjour illégal, de sorte qu'il n'ignore pas les conditions de réalisation de cette infraction, pour laquelle il a été condamné la dernière fois le 17 septembre 2020 par le Tribunal de police ; il était alors assisté d'un avocat de la même étude que celle qui l'assiste actuellement. Le recourant ne prétend d'ailleurs pas que la présente cause se</w:t>
      </w:r>
    </w:p>
    <w:p>
      <w:r>
        <w:t>- 6/7 - P/15790/2020 différencierait, sous l'angle juridique, de sa précédente condamnation pénale pour séjour illégal, sa situation administrative n'ayant pas évolué. Il a été en mesure d'expliquer à la police, le 4 février 2021, qu'il avait entamé des démarches pour régulariser sa situation sur le plan administratif, ce que relève la seconde ordonnance pénale. Le recourant est ainsi capable, sans l'aide d'un avocat, d'exposer sa situation administrative, voire de produire les pièces y relatives. De même, s'il estime s'être trouvé en Suisse, le 31 août 2020, pour défendre ses droits dans une autre procédure pénale, il peut le mentionner sans l'aide d'un conseil. Ces points ne soulèvent donc pas de difficultés particulières. Enfin, les principes applicables à la quotité de la sanction en cas d'infractions de séjour illégal font l'objet d'une jurisprudence publiée qui ne saurait échapper au juge saisi (ATF 135 IV 6 consid. 4.2 p. 11; arrêts 6B_1226/2013 du 31 mars 2014 consid.</w:t>
      </w:r>
    </w:p>
    <w:p>
      <w:r>
        <w:rPr>
          <w:b/>
        </w:rPr>
        <w:t>E. 4</w:t>
      </w:r>
    </w:p>
    <w:p>
      <w:r>
        <w:t>Justifiée, l'ordonnance querellée sera donc confirmée.</w:t>
      </w:r>
    </w:p>
    <w:p>
      <w:r>
        <w:rPr>
          <w:b/>
        </w:rPr>
        <w:t>E. 5</w:t>
      </w:r>
    </w:p>
    <w:p>
      <w:r>
        <w:t>Il ne sera pas perçu de frais pour la procédure de recours (art. 20 RAJ).</w:t>
      </w:r>
    </w:p>
    <w:p>
      <w:r>
        <w:rPr>
          <w:b/>
        </w:rPr>
        <w:t>E. 6</w:t>
      </w:r>
    </w:p>
    <w:p>
      <w:r>
        <w:t>La demande d'octroi d'une défense d'office pour la procédure de recours sera rejetée, l'assistance d'un avocat n'étant pas nécessaire au recourant, francophone, pour contester l'ordonnance querellée (art. 132 al. 2 CPP). Le recours étant rejeté, le recourant n'a pas droit non plus à une indemnité sur la base de l'art. 429 al. 1 CPP. * * * * *</w:t>
      </w:r>
    </w:p>
    <w:p>
      <w:r>
        <w:t>- 7/7 - P/15790/2020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