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ACPR/518/2020 vom 21. April 2020</w:t>
      </w:r>
    </w:p>
    <w:p>
      <w:r>
        <w:t>GE Cour de justice, 2020-04-21, FR</w:t>
      </w:r>
    </w:p>
    <w:p>
      <w:r>
        <w:rPr>
          <w:b/>
        </w:rPr>
        <w:t xml:space="preserve">Quelle: </w:t>
      </w:r>
      <w:r>
        <w:t>https://mcp.opencaselaw.ch/entscheid/ge_gerichte_ACPR_518_2020</w:t>
      </w:r>
    </w:p>
    <w:p>
      <w:r>
        <w:t>FR: GE_GERICHTE ACPR/518/2020 du 21 avril 2020</w:t>
      </w:r>
    </w:p>
    <w:p>
      <w:r>
        <w:t>IT: GE_GERICHTE ACPR/518/2020 del 21 aprile 2020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fait grief au Ministère public de ne pas avoir retenu une atteinte à son honneur.</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w:t>
      </w:r>
    </w:p>
    <w:p>
      <w:r>
        <w:t>- 5/10 - P/25984/2019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et les références citées). 3.2.1. L'art. 173 ch. 1 CP (diffamation) punit celui qui, en s'adressant à un tiers, aura accusé une personne ou jeté sur elle le soupçon de tenir une conduite contraire à l'honneur ou de tout autre fait propre à porter atteinte à sa considération et celui qui aura propagé une telle accusation ou un tel soupçon. Selon l'art. 173 ch. 2 CP, l'inculpé n'encourra aucune peine s'il prouve que les allégations qu'il a articulées ou propagées sont conformes à la vérité ou qu'il avait des raisons sérieuses de les tenir de bonne foi pour vraies. L'art. 174 ch. 1 CP (calomnie) punit celui qui, connaissant la fausseté de ses allégations, aura, en s'adressant à un tiers, accusé une personne ou jeté sur elle le soupçon de tenir une conduite contraire à l'honneur, ou de tout autre fait propre à porter atteinte à sa considération. La calomnie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3.2.2. L'honneur protégé par ces dispositions est conçu de façon générale comme un droit au respect, qui est lésé par toute assertion propre à exposer la personne visée au mépris en sa qualité d'homme.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Dans le domaine des activités socio- 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p. 464).</w:t>
      </w:r>
    </w:p>
    <w:p>
      <w:r>
        <w:t>- 6/10 - P/25984/2019 Pour apprécier si une déclaration est attentatoire à l'honneur, il faut procéder à une interprétation objective selon le sens que le destinataire non prévenu devait, dans les circonstances d'espèce, lui attribuer. Les mêmes termes n'ont donc pas nécessairement la même portée suivant le contexte dans lequel ils sont employés. Selon la jurisprudence, un texte doit être analysé non seulement en fonction des expressions utilisées, prises séparément, mais aussi selon le sens général qui se dégage du texte dans son ensemble (ATF 145 IV 462 consid. 4.2.3 p. 464). 3.2.3. L'art. 177 al. 1 CP (injure) punit celui qui, de toute autre manière,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(arrêts du Tribunal fédéral 6B_1149/2019 du 15 janvier 2020 consid. 5.1 ; 6B_557/2013 du 12 septembre 2013, consid. 1.1 et les références citées, publié in SJ 2014 I 293).</w:t>
      </w:r>
    </w:p>
    <w:p>
      <w:r>
        <w:rPr>
          <w:b/>
        </w:rPr>
        <w:t>E. 3.3</w:t>
      </w:r>
    </w:p>
    <w:p>
      <w:r>
        <w:t>En l'espèce, il faut se demander, avant toute chose, si les propos litigieux sont en tant que tels attentatoires à l'honneur du recourant. Contrairement à ce que celui-ci affirme, le Ministère public n'a pas "implicitement" admis que tel était bien le cas, mais a d'emblée exclu cette hypothèse. Cette appréciation doit être confirmée : qu'on les considère globalement ou un par un, aucun des quatre passages des écritures du 27 septembre 2019, tels qu'identifiés par le recourant dans sa plainte pénale, n'est constitutif d'une infraction aux art. 173 ss CP. Le premier passage, évoquant l'affirmation du recourant dans ses écritures à la Chambre civile selon laquelle "les parties [seraient] en guerre", poursuit sur le même ton martial ("mini-guérilla […] menée tambour battant"). Le fait de présenter ensuite le recourant comme ayant fait "traîner une procédure arbitrale pendant près de 9 ans, pour un montant litigieux dérisoire" relève tout au plus de la critique d'une tactique procédurale consistant à faire durer le procès dans l'espoir de décourager sa partie adverse. Cela ne suffit pas à rendre le recourant méprisable aux yeux d'un destinataire même non averti, et encore moins à le faire passer pour le "maître des procédures dilatoires et téméraires", comme il l'allègue. La même conclusion s'impose s'agissant du second passage litigieux. Le terme "recourite aiguë" s'entend non pas au sens d'une affection psychiatrique (cf. par ex. ATF 100 IV 43 consid. 2 p. 45 s., pour les termes "maniaques" ou "vicieux"), mais</w:t>
      </w:r>
    </w:p>
    <w:p>
      <w:r>
        <w:t>- 7/10 - P/25984/2019 désigne à nouveau la posture adoptée par le recourant en procédure, selon le mis en cause, et qui, toute critiquable qu'elle puisse paraître aux yeux de la partie adverse, n'est pas à même de jeter le discrédit sur sa personne. Le troisième passage, dès lors qu'on le lit avec le reste du paragraphe concerné, se comprend comme faisant référence à un argument juridique du recourant (l'interdiction de l'anatocisme, cf. art. 105 al. 3 CO) qui n'a pas (ou pas entièrement) porté devant le juge de la mainlevée, et qu'il soulève une nouvelle fois auprès de la Chambre civile. Avec l'expression "os à ronger", le mis en cause visait selon toute vraisemblance à souligner le caractère accessoire de cette problématique par rapport au reste du litige, ce qui est d'ailleurs confirmé par la suite de sa phrase, puisque, filant la métaphore gastronomique, il s'étonne de la place occupée par cet argument dans les écritures du recourant, lequel en ferait donc "des tartines". Dans ces circonstances, le recourant ne peut raisonnablement prétendre qu'au travers de l'image de l'os à ronger, le mis en cause le ferait apparaître comme un "avocat sans foi ni loi qui aurait mérité qu'on lui donne, comme à un chien, un os à ronger". Le quatrième et dernier passage doit, ici aussi, être replacé dans son contexte : il se réfère à l'affirmation du recourant, contenue dans son recours du 23 septembre 2019 à la Chambre civile, selon laquelle il "n'est sujet d'aucune autre poursuite que celle en cause dans la présente instance". Aucune preuve n'est fournie à l'appui de cet allégué. Dans les déterminations litigieuses, le mis en cause prend note que le recourant est "solvable, apparemment". On ne peut suivre le recourant lorsqu'il prétend que l'usage de ce dernier adverbe le ferait apparaître comme le "maître […] de la dissimulation", ou sous-entendrait de façon évidente que le mis en cause serait au courant de sa situation patrimoniale actuelle, près de dix ans après la fin de leur collaboration. Aux yeux d'un lecteur neutre, les propos litigieux doivent bien plus se comprendre en ce sens que la solvabilité du recourant résulterait de ses seuls allégués en procédure, sans être prouvée par pièce. On ne discerne pas, dans ce cadre, la moindre expression de mépris à l'égard de sa personne. Que les déterminations litigieuses aient pris place dans un contexte conflictuel, qualifié par le recourant lui-même de "particulièrement aigu", ne change pas les considérations qui précèdent. On peine à voir en quoi le fait que le mis en cause ait signé lui-même cette écriture, alors qu'il avait constitué un avocat, est pertinent pour juger du caractère attentatoire à l'honneur des propos qu'elle contient ; tout au plus cette circonstance permettrait-elle de mettre hors de cause l'avocat en question, mais tel n'est pas l'objet du recours. La charge de juge suppléant à la Cour de justice occupée par le mis en cause est également dénuée de pertinence en l'espèce, dès lors que les délits contre l'honneur ne dépendent pas de la crédibilité de l'auteur vis-à-vis des tiers à qui il s'adresse. Ainsi, le Ministère public était fondé à refuser d'entrer en matière sur les faits dénoncés par le recourant, faute de prévention pénale suffisante de diffamation (art. 173 CP), de calomnie (art. 174 CP) ou d'injure (art. 177 CP).</w:t>
      </w:r>
    </w:p>
    <w:p>
      <w:r>
        <w:t>- 8/10 - P/25984/2019 Dans ces conditions, on peut se dispenser d'examiner si, comme semble le retenir l'ordonnance querellée, les allégations litigieuses pouvaient se justifier au regard de l'art. 14 CP et du devoir procédural d'alléguer les faits, dès lors que leur caractère attentatoire à l'honneur peut d'emblée être nié. Les griefs du recourant y relatifs n'ont dès lors pas à être traités, tout comme ceux liés au cercle de personnes à qui les propos auraient été communiqués.</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- 9/10 - P/25984/2019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