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ACPR/517/2023 vom 4. Juli 2023</w:t>
      </w:r>
    </w:p>
    <w:p>
      <w:r>
        <w:t>GE Cour de justice, 2023-07-04, FR</w:t>
      </w:r>
    </w:p>
    <w:p>
      <w:r>
        <w:rPr>
          <w:b/>
        </w:rPr>
        <w:t xml:space="preserve">Quelle: </w:t>
      </w:r>
      <w:r>
        <w:t>https://mcp.opencaselaw.ch/entscheid/ge_gerichte_ACPR_517_2023</w:t>
      </w:r>
    </w:p>
    <w:p>
      <w:r>
        <w:t>FR: GE_GERICHTE ACPR/517/2023 du 4 juillet 2023</w:t>
      </w:r>
    </w:p>
    <w:p>
      <w:r>
        <w:t>IT: GE_GERICHTE ACPR/517/2023 del 4 luglio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qu'une non-entrée en matière n'est plus justifiée.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w:t>
      </w:r>
    </w:p>
    <w:p>
      <w:r>
        <w:t>- 5/8 - P/3035/2023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éd., Bâle 2019, n. 9 ad art. 310).</w:t>
      </w:r>
    </w:p>
    <w:p>
      <w:r>
        <w:rPr>
          <w:b/>
        </w:rPr>
        <w:t>E. 3.2</w:t>
      </w:r>
    </w:p>
    <w:p>
      <w:r>
        <w:t>En l'espèce, force est de constater que le dossier ne contient aucun élément permettant d'identifier la personne qui serait à l'origine des blessures du recourant, ni même qu'il y aurait eu d'autres agresseurs. Les témoins n'ont assisté que partiellement aux faits. En outre, tant le recourant que son ami C______ – tous deux alcoolisés – n'ont pas été en mesure de donner des éléments susceptibles de faire avancer l'enquête. Il peut être retenu, tout au plus, que le propriétaire du vélo jeté au sol par le recourant, avec qui l'altercation a débuté, serait un client du D______, voire un videur, sans autre détail sur son identité. Dans ce contexte, c'est à juste titre que le Ministère public n'est pas entré en matière. Le fait que le recourant aurait récemment découvert que son agresseur serait un employé du bar H______ n'est pas de nature à modifier ce qui précède. Tout d'abord, ces nouvelles déclarations sont en contradiction avec celles exprimées quelques jours après les évènements dénoncés, lesquelles – absence de souvenirs et impossibilité d'identifier la ou les personne(s) avec qui il avait eu une altercation – concordent avec l'état fortement alcoolisé (3 o/oo) du recourant au moment des faits. Ensuite, elles contredisent les déclarations de C______, également alcoolisé, qui après avoir évoqué la présence, parmi les videurs, d'un employé du bar H______, a déclaré ne pas pouvoir affirmer qui – des videurs ou des clients –, avait frappé son ami.</w:t>
      </w:r>
    </w:p>
    <w:p>
      <w:r>
        <w:t>- 6/8 - P/3035/2023 Dans un tel contexte, l'identification de l'auteur du coup de poing plusieurs mois après les faits apparaît peu, voire pas fiable. Partant, la non-entrée en matière sera confirmée.</w:t>
      </w:r>
    </w:p>
    <w:p>
      <w:r>
        <w:rPr>
          <w:b/>
        </w:rPr>
        <w:t>E. 4</w:t>
      </w:r>
    </w:p>
    <w:p>
      <w:r>
        <w:t>Enfin, le grief du recourant selon lequel la procédure préliminaire devrait être reprise, au sens de l'art. 323 al. 1 CPP, tombe à faux, dans la mesure où la décision querellée, en raison du présent recours, n'est pas encore entrée en force.</w:t>
      </w:r>
    </w:p>
    <w:p>
      <w:r>
        <w:rPr>
          <w:b/>
        </w:rPr>
        <w:t>E. 5</w:t>
      </w:r>
    </w:p>
    <w:p>
      <w:r>
        <w:t>Le recourant estime qu'il aurait dû être mis au bénéfice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notamment,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l'espèce, quand bien même le recourant est indigent, il a été jugé supra que ses griefs étaient juridiquement infondés. Il en découle que les conditions pour lui octroyer l'assistance judiciaire ne sont manifestement pas réalisées. Partant, c'est à bon droit que le Ministère public a rejeté sa demande de nomination de conseil juridique gratuit. Au vu de l'issue du recours, la demande sera également rejetée pour cette instance.</w:t>
      </w:r>
    </w:p>
    <w:p>
      <w:r>
        <w:rPr>
          <w:b/>
        </w:rPr>
        <w:t>E. 6</w:t>
      </w:r>
    </w:p>
    <w:p>
      <w:r>
        <w:t>Justifiées, les ordonnances querellées seront donc confirmées et le recours rejeté.</w:t>
      </w:r>
    </w:p>
    <w:p>
      <w:r>
        <w:rPr>
          <w:b/>
        </w:rPr>
        <w:t>E. 7</w:t>
      </w:r>
    </w:p>
    <w:p>
      <w:r>
        <w:t>Le recourant, qui succombe, supportera les frais envers l'État, qui seront arrêtés à CHF 600.-, ceci au regard de sa situation financière (art. 428 al. 1 CPP et 13 al. 1 du Règlement fixant le tarif des frais en matière pénale, RTFMP ; E 4 10.03). Le refus de l'assistance judiciaire sera, quant à lui, rendu sans frais (art. 20 RAJ; arrêt du Tribunal fédéral 6B_215/2018 du 14 juin 2018 consid. 1.2). * * * * *</w:t>
      </w:r>
    </w:p>
    <w:p>
      <w:r>
        <w:t>- 7/8 - P/3035/2023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