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ACPR/517/2022 vom 7. Juli 2022</w:t>
      </w:r>
    </w:p>
    <w:p>
      <w:r>
        <w:t>GE Cour de justice, 2022-07-07, FR</w:t>
      </w:r>
    </w:p>
    <w:p>
      <w:r>
        <w:rPr>
          <w:b/>
        </w:rPr>
        <w:t xml:space="preserve">Quelle: </w:t>
      </w:r>
      <w:r>
        <w:t>https://mcp.opencaselaw.ch/entscheid/ge_gerichte_ACPR_517_2022</w:t>
      </w:r>
    </w:p>
    <w:p>
      <w:r>
        <w:t>FR: GE_GERICHTE ACPR/517/2022 du 7 juillet 2022</w:t>
      </w:r>
    </w:p>
    <w:p>
      <w:r>
        <w:t>IT: GE_GERICHTE ACPR/517/2022 del 7 luglio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la relation de confiance avec son avocat est rompue et qu'un autre défenseur d'office devrait lui être désigné.</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 Message du Conseil</w:t>
      </w:r>
    </w:p>
    <w:p>
      <w:r>
        <w:t>- 4/7 - P/24933/2021 fédéral du 21 décembre 2005 relatif à l'unification du droit de la procédure, FF 2006 1057, spéc. 1159; cf. arrêts rendus avant l'entrée en vigueur du CPP: ATF 105 Ia 296 consid. 1d p. 302; arrêts 1B_74/ 2008 du 18 juin 2008 consid. 2 et 1B_245/2008 du 11 novembre 2008 consid. 2; arrêt CourEDH Croissant contre Allemagne du 25 septembre 1992, § 29).</w:t>
      </w:r>
    </w:p>
    <w:p>
      <w:r>
        <w:rPr>
          <w:b/>
        </w:rPr>
        <w:t>E. 3.2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3.3</w:t>
      </w:r>
    </w:p>
    <w:p>
      <w:r>
        <w:t>En l'espèce, le recourant motive son recours par le fait que Me B______ serait inactive et ne le renseignerait pas sur l'évolution de la procédure. Aucun élément au dossier ne laisse entrevoir que tel serait le cas. Me B______ a assisté le recourant aux audiences d'instruction. Elle s'est opposée aux demandes du Ministère public relatives à sa détention. Elle s'est prononcée sur le mandat d'expertise psychiatrique. Elle a demandé la recherche d'images de vidéo- surveillance et l'impression des messages échangés entre le recourant et sa victime</w:t>
      </w:r>
    </w:p>
    <w:p>
      <w:r>
        <w:t>- 5/7 - P/24933/2021 présumée, communiquant dans ce but le code de déverrouillage du téléphone portable du recourant. Elle a demandé s'il pouvait utiliser l'argent saisi sur lui. Certes, le recourant affirme n'avoir pas été "renseigné" sur sa proposition de faire fouiller son téléphone portable et sur la recherche de preuves relative à la vidéo- surveillance et à l'acquisition par sa victime présumée d'une bouteille de whisky. Sur les deux premiers points, on a vu que l'avocate a diligemment requis, et obtenu, les investigations y relatives; qu'elle n'ait pas eu l'occasion d'en rendre compte au recourant avant le dépôt de la requête de celui-ci peut s'expliquer par les servitudes liées à l'organisation d'un parloir et à la consultation du dossier, qu'elle effectuera le</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500.- (art. 13 al. 1 du Règlement fixant le tarif des frais en matière pénale, RTFMP; E 4 10.03). * * * * *</w:t>
      </w:r>
    </w:p>
    <w:p>
      <w:r>
        <w:t>- 6/7 - P/24933/2021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