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ACPR/514/2019 vom 3. Dezember 2018</w:t>
      </w:r>
    </w:p>
    <w:p>
      <w:r>
        <w:t>GE Cour de justice, 2018-12-03, FR</w:t>
      </w:r>
    </w:p>
    <w:p>
      <w:r>
        <w:rPr>
          <w:b/>
        </w:rPr>
        <w:t xml:space="preserve">Quelle: </w:t>
      </w:r>
      <w:r>
        <w:t>https://mcp.opencaselaw.ch/entscheid/ge_gerichte_ACPR_514_2019</w:t>
      </w:r>
    </w:p>
    <w:p>
      <w:r>
        <w:t>FR: GE_GERICHTE ACPR/514/2019 du 3 décembre 2018</w:t>
      </w:r>
    </w:p>
    <w:p>
      <w:r>
        <w:t>IT: GE_GERICHTE ACPR/514/2019 del 3 dicembre 2018</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 les formalités de notification (art. 85 al. 2 CPP) n'ayant pas été observées — et concerner une ordonnance sujette à recours auprès de la Chambre de céans (art. 393 al. 1 let. a CPP).</w:t>
      </w:r>
    </w:p>
    <w:p>
      <w:r>
        <w:rPr>
          <w:b/>
        </w:rPr>
        <w:t>E. 2.2</w:t>
      </w:r>
    </w:p>
    <w:p>
      <w:r>
        <w:t>p. 366; 125 II 402 consid. 1b p. 404; arrêts du Tribunal fédéral 6B_303/2019 du 9 avril 2019 consid. 2.3; 6B_279/2018 du 27 juillet 2018 consid. 1.1; 6B_1053/2017</w:t>
      </w:r>
    </w:p>
    <w:p>
      <w:r>
        <w:t>- 6/9 - P/19337/2018 du 17 mai 2018 consid. 4.1). L'interdiction de la double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 Ce principe vaut aussi en cas d'ordonnance de non-entrée en matière, auxquelles les dispositions sur le classement s'appliquent (art. 310 al. 2 CPP).</w:t>
      </w:r>
    </w:p>
    <w:p>
      <w:r>
        <w:rPr>
          <w:b/>
        </w:rPr>
        <w:t>E. 3</w:t>
      </w:r>
    </w:p>
    <w:p>
      <w:r>
        <w:t>La recourante reproche au Ministère public de ne pas être entré en matière sur sa plainte du 4 juillet 2018.</w:t>
      </w:r>
    </w:p>
    <w:p>
      <w:r>
        <w:rPr>
          <w:b/>
        </w:rPr>
        <w:t>E. 3.1</w:t>
      </w:r>
    </w:p>
    <w:p>
      <w:r>
        <w:t>Aux termes de l'art. 310 al. 1 let. b CPP, le ministère public rend immédiatement une ordonnance de non-entrée en matière s'il ressort de la dénonciation qu'il existe un empêchement de procéder, par exemple si l'action publique est atteinte par la prescription ou une précédente procédure engagée à raison des mêmes faits ("ne bis in idem"; L. MOREILLON / A. PAREIN-REYMOND, Code de procédure pénale - Petit commentaire, 2e éd., Bâle 2016, n. 13 ad art. 310; A. KUHN / Y. JEANNERET (éds), Commentaire romand : Procédure pénale suisse, Bâle 2011, n. 12 ad art. 310).</w:t>
      </w:r>
    </w:p>
    <w:p>
      <w:r>
        <w:rPr>
          <w:b/>
        </w:rPr>
        <w:t>E. 3.2</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w:t>
      </w:r>
    </w:p>
    <w:p>
      <w:r>
        <w:rPr>
          <w:b/>
        </w:rPr>
        <w:t>E. 3.3</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p. 197). Cependant, pour entrer en matière sur une demande de réouverture de l'instruction fondée sur l'art. 323 CPP, la prescription de l'action pénale de l'infraction dénoncée ne doit pas être acquise (arrêt du Tribunal fédéral 6B_614/2015 du 14 mars 2016 consid. 2.2.2.).</w:t>
      </w:r>
    </w:p>
    <w:p>
      <w:r>
        <w:rPr>
          <w:b/>
        </w:rPr>
        <w:t>E. 3.4</w:t>
      </w:r>
    </w:p>
    <w:p>
      <w:r>
        <w:t>En l'espèce, force est de constater que dans sa plainte du 4 octobre 2018, la recourante fait état des mêmes faits que ceux dénoncés dans sa plainte du 6 juillet 2016, dirigée contre les mêmes parties. La recourante ne peut, par le dépôt d'une nouvelle plainte, tenter de revenir sur l'ACPR/603/2017 qui avait retenu que l'action pénale était prescrite. Les faits dénoncés ont fait l'objet d'une procédure pénale (P/1______/2016), close par une ordonnance de non-entrée en matière, – confirmée par la Chambre de céans puis le Tribunal fédéral –, aujourd'hui en force. Aucun fait ou moyen de preuve nouveaux n'est apporté. En particulier, il ressortait déjà du dossier que les avoirs avaient transité sur un autre compte auprès de H______ avant d'être transférés auprès de J______ S.A. La qualification juridique n'étant pas pertinente dans l'examen du principe ne bis in idem, il importe peu que la procédure initiale n'ait pas fait état de la qualification</w:t>
      </w:r>
    </w:p>
    <w:p>
      <w:r>
        <w:t>- 7/9 - P/19337/2018 d'utilisation frauduleuse d'un ordinateur, l'instruction ayant porté "in rem", soit sur l'ensemble de ce complexe de faits.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- 8/9 - P/19337/2018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