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ACPR/512/2025 vom 2. Mai 2025</w:t>
      </w:r>
    </w:p>
    <w:p>
      <w:r>
        <w:t>GE Cour de justice, 2025-05-02, FR</w:t>
      </w:r>
    </w:p>
    <w:p>
      <w:r>
        <w:rPr>
          <w:b/>
        </w:rPr>
        <w:t xml:space="preserve">Quelle: </w:t>
      </w:r>
      <w:r>
        <w:t>https://mcp.opencaselaw.ch/entscheid/ge_gerichte_ACPR_512_2025</w:t>
      </w:r>
    </w:p>
    <w:p>
      <w:r>
        <w:t>FR: GE_GERICHTE ACPR/512/2025 du 2 mai 2025</w:t>
      </w:r>
    </w:p>
    <w:p>
      <w:r>
        <w:t>IT: GE_GERICHTE ACPR/512/2025 del 2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mis en cause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lui avoir restitué le délai d'opposition à l'ordonnance pénale du 3 janvier 2025.</w:t>
      </w:r>
    </w:p>
    <w:p>
      <w:r>
        <w:rPr>
          <w:b/>
        </w:rPr>
        <w:t>E. 3.1</w:t>
      </w:r>
    </w:p>
    <w:p>
      <w:r>
        <w:t>À teneur de l'art. 353 al. 3 CPP, l'ordonnance pénale est immédiatement notifiée par écrit aux personnes et aux autorités qui ont qualité pour former opposition.</w:t>
      </w:r>
    </w:p>
    <w:p>
      <w:r>
        <w:t>- 5/9 - P/19171/2024 Les communications écrites des autorités pénales sont en général notifiées par pli recommandé (art. 85 al. 2 CPP). Le prévenu peut faire opposition à l'ordonnance pénale, par écrit, dans les dix jours (art. 354 al. 1 let. a CPP). Le prononcé est réputé notifié si son destinataire ne l'a pas retiré dans les sept jours à compter d'une tentative de remise infructueuse, à condition qu'il ait dû s'attendre à une telle remise (art. 85 al. 4 let. a CPP).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 34; arrêt du Tribunal fédéral 1P.81/2007 du 26 mars 2007 consid. 3.2).</w:t>
      </w:r>
    </w:p>
    <w:p>
      <w:r>
        <w:rPr>
          <w:b/>
        </w:rPr>
        <w:t>E. 3.2</w:t>
      </w:r>
    </w:p>
    <w:p>
      <w:r>
        <w:t>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Tel est le cas lorsque la personne concernée est au courant qu'elle fait l'objet d'une instruction pénale au sens de l'art. 309 CPP (ATF 146 IV 30 consid. 1.1.2 ; arrêt du Tribunal fédéral 6B_448/2024 du 19 septembre 2024 consid. 3.2.2).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du Tribunal fédéral 6B_880/2022 du 30 janvier 2023 consid. 2.1 et la jurisprudence citée). De jurisprudence constante, celui qui se sait partie à une procédure judiciaire et qui doit dès lors s'attendre à recevoir notification d'actes du juge est tenu de relever son courrier ou, s'il s'absente de son domicile, de prendre des dispositions pour que celui- 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141 II 429 consid. 3.1; 139 IV 228 consid. 1.1 et les références citées). Une application stricte des règles de procédure, notamment en matière de délais, s'impose pour des raisons d'égalité de droit et ne relève pas d'un formalisme excessif (ATF 125 V 65 consid. 1; arrêts du Tribunal fédéral 6B_1240/2021 du 23 mai 2022 consid. 4.2 ; 6B_950/2021 du 28 avril 2022 consid. 4.1; 6B_256/2022 du 21 mars 2022 consid. 2.1 et la référence citée).</w:t>
      </w:r>
    </w:p>
    <w:p>
      <w:r>
        <w:t>- 6/9 - P/19171/2024</w:t>
      </w:r>
    </w:p>
    <w:p>
      <w:r>
        <w:rPr>
          <w:b/>
        </w:rPr>
        <w:t>E. 4.1</w:t>
      </w:r>
    </w:p>
    <w:p>
      <w:r>
        <w:t>La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 Une restitution de délai n'entre en revanche pas en ligne de compte lorsque la partie ou son mandataire a tardé à agir en raison d'un choix délibéré ou d'une erreur, même légère (ATF 143 I 284 consid. 1.3; arrêts du Tribunal fédéral 7B_611/2023 du 20 décembre 2023 consid. 2.2.1, 7B_36/2022 du 13 septembre 2023 consid. 3.3 et 1C_698/2020 du</w:t>
      </w:r>
    </w:p>
    <w:p>
      <w:r>
        <w:rPr>
          <w:b/>
        </w:rPr>
        <w:t>E. 4.2</w:t>
      </w:r>
    </w:p>
    <w:p>
      <w:r>
        <w:t>Dans le cas présent, le recourant devait s'attendre à la notification d'actes de l'autorité à son adresse genevoise. Il en a d'ailleurs été informé par sa compagne le</w:t>
      </w:r>
    </w:p>
    <w:p>
      <w:r>
        <w:rPr>
          <w:b/>
        </w:rPr>
        <w:t>E. 8</w:t>
      </w:r>
    </w:p>
    <w:p>
      <w:r>
        <w:t>février 2021 consid. 4.2). Comme exemple d'empêchements fautifs, on peut citer : une absence durable de la partie sans qu'elle ne laisse d'adresse, ni ne constitue un mandataire ou lorsqu'elle n'a pas communiqué un changement d'adresse à l'autorité alors qu'elle devait s'attendre à une notification; une absence prévisible, la partie devant s'organiser de manière à pouvoir respecter les délais lorsqu'elle doit s'attendre à une notification; la surcharge de travail qui ne laisse pas à la partie le temps d'accomplir l'acte dans le délai; l'erreur d'agenda ou encore l'ignorance des règles de procédure relatives à la computation des délais (JEANNERET / KUHN / PERRIER DEPEURSINGE, Commentaire romand : Code de procédure pénale suisse, Bâle 2019, N. 10b ad art. 94).</w:t>
      </w:r>
    </w:p>
    <w:p>
      <w:r>
        <w:rPr>
          <w:b/>
        </w:rPr>
        <w:t>E. 13</w:t>
      </w:r>
    </w:p>
    <w:p>
      <w:r>
        <w:t>janvier 2025. Lui-même se trouvait alors dans un cas d'absence prévisible puisqu'il avait programmé ses vacances, du 3 au 27 janvier 2025, depuis le 21 octobre 2024. Il aurait dû alors prendre les dispositions nécessaires pour que son courrier soit réceptionné durant son absence, de sorte qu'il puisse être informé de la notification d'actes. Il n'explique pas dans ses écritures ce qui l'aurait empêché de mandater un tiers pour relever son courrier et/ou agir en temps utile en son nom le cas échéant. Le motif évoqué d'une présence en Afrique n'est pas suffisant pour fonder un défaut non fautif. Au regard de ce qui précède, la mention erronée du Ministère public d'un retour de vacances du recourant le "17" janvier 2025 ne modifie, quoi qu'il en soit, pas la solution. L'autorité a en effet relevé dans son ordonnance entreprise que le recourant aurait pu charger son épouse ou une tierce personne de retirer son courrier pendant son absence, ce qu'il n'a pas fait.</w:t>
      </w:r>
    </w:p>
    <w:p>
      <w:r>
        <w:t>- 7/9 - P/19171/2024 Faute d'avoir été empêché, en raison d'un évènement – au sens des principes rappelés ci-dessus – l'ayant objectivement ou subjectivement mis dans l'impossibilité d'agir par lui-même ou par l'intermédiaire d'une tierce personne, de former opposition à l'ordonnance pénale dans le délai légal, il ne saurait y avoir place pour une quelconque restitution de délai. L'existence d'un empêchement non fautif ne peut être retenue, de sorte que la restitution du délai pour former opposition a, à juste titre, été refusée par le Ministère public. 5. Justifiée, l'ordonnance querellée sera donc confirmée. 6. Le recourant, qui succombe, supportera les frais envers l'État, qui comprendront un émolument de CHF 800.- (art. 428 al. 1 CPP et 13 al. 1 du Règlement fixant le tarif des frais en matière pénale, RTFMP ; E 4 10.03). * * * * *</w:t>
      </w:r>
    </w:p>
    <w:p>
      <w:r>
        <w:t>- 8/9 - P/19171/2024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