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ACPR/50/2022 vom 20. April 2021</w:t>
      </w:r>
    </w:p>
    <w:p>
      <w:r>
        <w:t>GE Cour de justice, 2021-04-20, FR</w:t>
      </w:r>
    </w:p>
    <w:p>
      <w:r>
        <w:rPr>
          <w:b/>
        </w:rPr>
        <w:t xml:space="preserve">Quelle: </w:t>
      </w:r>
      <w:r>
        <w:t>https://mcp.opencaselaw.ch/entscheid/ge_gerichte_ACPR_50_2022</w:t>
      </w:r>
    </w:p>
    <w:p>
      <w:r>
        <w:t>FR: GE_GERICHTE ACPR/50/2022 du 20 avril 2021</w:t>
      </w:r>
    </w:p>
    <w:p>
      <w:r>
        <w:t>IT: GE_GERICHTE ACPR/50/2022 del 20 aprile 2021</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 Y. JEANNERET/ A. KUHN/ C. PERRIER DEPEURSINGE (éds), Commentaire romand : Code de procédure pénale suisse, 2ème éd., Bâle 2019, n. 4 in fine ad art. 30)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reproche au Ministère public d'avoir violé son droit d'être entendu, faute de motivation de son ordonnance de jonction.</w:t>
      </w:r>
    </w:p>
    <w:p>
      <w:r>
        <w:rPr>
          <w:b/>
        </w:rPr>
        <w:t>E. 2.1</w:t>
      </w:r>
    </w:p>
    <w:p>
      <w:r>
        <w:t>La garantie du droit d'être entendu, déduite de l'art. 29 al. 2 Cst., impose à l'autorité de motiver ses décisions, afin que les parties puissent les comprendre et apprécier l'opportunité de les attaquer, et que les autorités de recours soient en mesure d'exercer leur contrôle (ATF 136 I 229 consid. 5.2; ATF 135 I 265 consid. 4.3; ATF 126 I 97 consid. 2b). Il suffit que l'autorité mentionne au moins brièvement les motifs fondant sa décision, de manière à ce que l'intéressé puisse se rendre compte de la portée de celle-ci et l'attaquer en connaissance de cause; l'autorité peut se limiter à ne discuter que les moyens pertinents, sans être tenue de répondre à tous les arguments qui lui sont présentés (ATF 139 IV 179 consid. 2.2; ATF 138 I 232 consid. 5.1; arrêts du Tribunal fédéral 6B_146/2016 du 22 août 2016 consid. 1.1 et 1B_62/2014 du 4 avril 2014 consid. 2.2). Dès lors que l'on peut discerner les motifs qui ont guidé la décision de l'autorité, le droit à une décision motivée est respecté même si la motivation présentée est erronée (ATF 141 V 557 consid. 3.2.1). La motivation peut d'ailleurs être implicite et résulter des différents considérants de la décision (arrêt du Tribunal fédéral 2C_23/2009 du 25 mai 2009 consid. 3.1).</w:t>
      </w:r>
    </w:p>
    <w:p>
      <w:r>
        <w:rPr>
          <w:b/>
        </w:rPr>
        <w:t>E. 2.2</w:t>
      </w:r>
    </w:p>
    <w:p>
      <w:r>
        <w:t>En l'espèce, la motivation de l'ordonnance querellée est sans contexte succincte. Cependant, lors de l'audience du 20 avril 2021, le Procureur, après avoir mis le recourant en présence des prévenus de la P/21003/2020 et lui avoir demandé s'il avait eu des rapports en lien avec des stupéfiants avec D______, lui a annoncé les conversations secrètes enregistrées lui demandant s'il était sûr de ne pas avoir été impliqué dans un trafic avec D______ "sachant que nous avons entendu des conversations dans sa voiture et également des conversations téléphoniques". Ainsi, même si le Procureur n'a pas précisé les infractions reprochées aux prévenus de la P/21003/2020, le recourant a bien compris les infractions à la LStup qui leur étaient reprochées et le lien fait avec lui – même s'il conteste celui-ci –. Il a en outre</w:t>
      </w:r>
    </w:p>
    <w:p>
      <w:r>
        <w:t>- 6/9 - P/21003/2020 pu prendre connaissance du détail des faits reprochés à réception de la copie des mesures secrètes ordonnées et autorisées. D'ailleurs, le recourant a été en mesure de contester la jonction dans le cadre de son écriture de recours. Enfin, le Procureur a développé sa motivation à l'occasion de ses observations de sorte que l'éventuelle violation sus-évoquée a donc été réparée durant la procédure de recours. Dite réparation n'induit aucun préjudice pour le recourant. En effet, la Chambre de céans statue avec un plein pouvoir de cognition (art. 391 al. 1 et 393 al. 2 CPP) sur les problématiques dont elle est saisie.</w:t>
      </w:r>
    </w:p>
    <w:p>
      <w:r>
        <w:rPr>
          <w:b/>
        </w:rPr>
        <w:t>E. 3</w:t>
      </w:r>
    </w:p>
    <w:p>
      <w:r>
        <w:t>Le recourant invoque une violation de l'art. 29 CPP.</w:t>
      </w:r>
    </w:p>
    <w:p>
      <w:r>
        <w:rPr>
          <w:b/>
        </w:rPr>
        <w:t>E. 3.1</w:t>
      </w:r>
    </w:p>
    <w:p>
      <w:r>
        <w:t>À teneur de l'art. 29 CPP ("Principe de l'unité de la procédure"), les infractions sont poursuivies et jugées conjointement lorsqu'un prévenu a commis plusieurs infractions (al. 1 let. a) ou s'il y a plusieurs coauteurs ou participants (al. 1 let. b). Si des raisons objectives le justifient, le ministère public et les tribunaux peuvent ordonner la jonction ou la disjonction de procédures pénales (art. 30 CPP). L'art. 29 CPP peut être considéré comme une règle d'ordre. La stricte mise en œuvre du principe d'unité est trop souvent aléatoire et les personnes poursuivies ne pourront pas invoquer ce principe pour en tirer un véritable droit (Y. JEANNERET / A. KUHN / C. PERRIER DEPEURSINGE (éds), op. cit, n. 4 ad art. 29). Le principe d'unité de la procédure découle déjà de l'art. 49 CP et, sous réserve d'exceptions, s'applique à toutes les situations où plusieurs infractions, respectivement plusieurs personnes, doivent être jugées ensemble (Y. JEANNERET / A. KUHN / C. PERRIER DEPEURSINGE (éds), op. cit., n. 1 ad art. 29). Ce principe tend à éviter les jugements contradictoires quant à l'état de fait, l'appréciation juridique ou la quotité de la peine. Il sert en outre l'économie de la procédure (ATF 138 IV 214 consid. 3 ; 138 IV 29 consid. 3.2).</w:t>
      </w:r>
    </w:p>
    <w:p>
      <w:r>
        <w:rPr>
          <w:b/>
        </w:rPr>
        <w:t>E. 3.2</w:t>
      </w:r>
    </w:p>
    <w:p>
      <w:r>
        <w:t>L'art. 30 CPP prévoit la possibilité de déroger au principe de l'unité de la procédure. Cette faculté entraîne une extension de l'unité de la procédure à d'autres situations que celles visées à l'art. 29 CPP (ACPR/133/2013 du 10 avril 2013 ; Y. JEANNERET / A. KUHN / C. PERRIER DEPEURSINGE (éds), op. cit., n. 3 ad art. 30). Une telle dérogation exige toutefois des raisons objectives, ce qui exclut de se fonder, par exemple, sur de simples motifs de commodité (Ibid., n. 2 ad art. 30). Une violation du principe de célérité constitue un motif objectif permettant de renoncer à juger conjointement plusieurs coauteurs (arrêt du Tribunal fédéral 1B_684/2011 et 1B_686/2011 du 21 décembre 2011 consid. 3.2).</w:t>
      </w:r>
    </w:p>
    <w:p>
      <w:r>
        <w:t>- 7/9 - P/21003/2020 La disjonction des causes en vertu de l'art. 30 CPP doit cependant rester l'exception et l'unité de la procédure la règle, dans un but d'économie de procédure, d'une part, mais aussi afin de prévenir le prononcé de décisions contraires, d'autre part. Une étroite connexité entre différentes infractions plaide également pour une jonction au sens de l'art. 30 CPP. Elle est notamment donnée, lorsque des participants s'accusent mutuellement d'infractions qui auraient été commises dans le cadre d'un même conflit. Une jonction des causes dans ce cas de figure va dans l'intérêt de l'économie de procédure et permet d'éviter des décisions contradictoires. Le Tribunal fédéral a ainsi considéré que dans le cas d'une personne blessée par des policiers qu'elle aurait agressés auparavant, les procédures ouvertes contre la victime et les agents de police devaient être instruites par un seul Ministère public, en l'occurrence extraordinaire (ATF 138 IV 29 consid. 5.5 ; ACPR/654/2016 du 13 octobre 2016).</w:t>
      </w:r>
    </w:p>
    <w:p>
      <w:r>
        <w:rPr>
          <w:b/>
        </w:rPr>
        <w:t>E. 3.3</w:t>
      </w:r>
    </w:p>
    <w:p>
      <w:r>
        <w:t>En l'espèce, le Procureur soupçonne les prévenus d'avoir participé à un trafic de stupéfiants, les rôles de chacun devant être précisés. Le recourant connait D______ qui lui a, en partie, payé une amende. Les mesures secrètes ont mis en évidence des relations, interprétées tant par la police que par le Procureur, comme relevant dudit trafic; lors de plusieurs audiences, le recourant a été confronté à des conversations à teneur desquelles il semble impliqué dans le trafic. Le Procureur souhaite tenir les audiences destinées à l'analyse des écoutes et autres découvertes fortuites dans la même et unique procédure; cela est une raison suffisante au regard de l'économie de procédure, ce d'autant plus qu'elle assure au recourant tous ses droits de parties. Le principe de célérité n'est pas violé au regard des diverses audiences tenues concernant le recourant. Le Ministère public a, en outre, déjà annoncé qu'il pourrait envisager ensuite une disjonction, ce qui permettrait de renvoyer le recourant en jugement si le degré de son implication dans les faits reprochés à D______, voire d'autres prévenus, le permettait. Partant, la décision entreprise est justifiée.</w:t>
      </w:r>
    </w:p>
    <w:p>
      <w:r>
        <w:rPr>
          <w:b/>
        </w:rPr>
        <w:t>E. 4</w:t>
      </w:r>
    </w:p>
    <w:p>
      <w:r>
        <w:t>Le recours étant rejeté, les frais de la procédure, fixés en totalité à CHF 900.-, seront mis à la charge du recourant, bien qu'il bénéficie d'une défense d'office (art. 135 al. 4 CPP; arrêt du Tribunal fédéral 6B_380/2013 du 16 janvier 2014, consid. 5).</w:t>
      </w:r>
    </w:p>
    <w:p>
      <w:r>
        <w:rPr>
          <w:b/>
        </w:rPr>
        <w:t>E. 5</w:t>
      </w:r>
    </w:p>
    <w:p>
      <w:r>
        <w:t>Il n'y a pas lieu d'indemniser, à ce stade (cf. art. 135 al. 2 CPP), le défenseur d'office, la procédure n'étant pas terminée. * * * * *</w:t>
      </w:r>
    </w:p>
    <w:p>
      <w:r>
        <w:t>- 8/9 - P/21003/2020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