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ACPR/508/2021 vom 1. April 2021</w:t>
      </w:r>
    </w:p>
    <w:p>
      <w:r>
        <w:t>GE Cour de justice, 2021-04-01, FR</w:t>
      </w:r>
    </w:p>
    <w:p>
      <w:r>
        <w:rPr>
          <w:b/>
        </w:rPr>
        <w:t xml:space="preserve">Quelle: </w:t>
      </w:r>
      <w:r>
        <w:t>https://mcp.opencaselaw.ch/entscheid/ge_gerichte_ACPR_508_2021</w:t>
      </w:r>
    </w:p>
    <w:p>
      <w:r>
        <w:t>FR: GE_GERICHTE ACPR/508/2021 du 1 avril 2021</w:t>
      </w:r>
    </w:p>
    <w:p>
      <w:r>
        <w:t>IT: GE_GERICHTE ACPR/508/2021 del 1 aprile 2021</w:t>
      </w:r>
    </w:p>
    <w:p>
      <w:pPr>
        <w:pStyle w:val="Heading2"/>
      </w:pPr>
      <w:r>
        <w:t>Erwägungen</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146 IV 76 consid. 2.2.1 p. 80 ; 145 IV 491 consid. 2.3 et 2.3.1 p. 495 ; arrêts du Tribunal fédéral 1B_446/2020 du 27 avril 2021 consid. 3.1 destiné à la publication ; 6B_752/2020 du 8 juin 2021 consid. 2.2 et les références citées).</w:t>
      </w:r>
    </w:p>
    <w:p>
      <w:r>
        <w:t>- 7/15 - P/9343/2020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Celui qui entend se constituer partie plaignante doit toutefois rendre vraisemblable le préjudice et le lien de causalité entre celui-ci et l'infraction dénoncée (ATF 141 IV 1 consid. 3.1 p. 5 s.).</w:t>
      </w:r>
    </w:p>
    <w:p>
      <w:r>
        <w:rPr>
          <w:b/>
        </w:rPr>
        <w:t>E. 1.3</w:t>
      </w:r>
    </w:p>
    <w:p>
      <w:r>
        <w:t>En l'espèce, le recourant ne consacre aucune ligne de ses écritures de recours à démontrer sa qualité de lésé en lien avec les infractions dénoncées.</w:t>
      </w:r>
    </w:p>
    <w:p>
      <w:r>
        <w:rPr>
          <w:b/>
        </w:rPr>
        <w:t>E. 1.3.1</w:t>
      </w:r>
    </w:p>
    <w:p>
      <w:r>
        <w:t>Il ne dispose pas de cette qualité s'agissant de l'infraction d'appropriation illégitime (art. 137 CP). Cette disposition protège le patrimoine, plus exactement le pouvoir de disposition du propriétaire sur une chose mobilière (cf. arrêt du Tribunal fédéral 6B_60/2014 du 24 juin 2014 consid. 3.3.1). Or, si le recourant reproche aux mis en cause de s'être approprié un bateau, une moto, voire des actions (sans expliquer pour ces dernières si elles étaient incorporées dans des certificats d'actions), il ne rend toutefois pas vraisemblable qu'il en était lui-même propriétaire. Il apparaît au contraire que ces biens étaient la propriété d'autrui, soit de C______ SA et/ou de ses actionnaires. Faute pour le recourant d'être titulaire du bien juridique protégé par l'infraction dénoncée, il ne peut revêtir la qualité de lésé.</w:t>
      </w:r>
    </w:p>
    <w:p>
      <w:r>
        <w:rPr>
          <w:b/>
        </w:rPr>
        <w:t>E. 1.3.2</w:t>
      </w:r>
    </w:p>
    <w:p>
      <w:r>
        <w:t>Cette conclusion s'impose également pour l'infraction de gestion déloyale (art. 158 CP), que le mis en cause aurait commise en sa qualité d'organe de C______ SA, et qui ne pouvait que porter atteinte au patrimoine de celle-ci, à l'exclusion de celui de tiers qui, à l'instar du recourant, ne sont que des créanciers.</w:t>
      </w:r>
    </w:p>
    <w:p>
      <w:r>
        <w:rPr>
          <w:b/>
        </w:rPr>
        <w:t>E. 1.3.3</w:t>
      </w:r>
    </w:p>
    <w:p>
      <w:r>
        <w:t>Quant à l'infraction d'escroquerie (art. 146 CP), le recourant reproche aux mis en cause de l'avoir laissé croire que la vente allait pouvoir être conclue, pour ensuite abandonner brutalement les négociations, non sans l'avoir poussé à rembourser</w:t>
      </w:r>
    </w:p>
    <w:p>
      <w:r>
        <w:t>- 8/15 - P/9343/2020 préalablement certaines dettes urgentes de la société. Ces allégations suffisent, au stade de la recevabilité du recours, pour admettre la qualité de lésé du recourant.</w:t>
      </w:r>
    </w:p>
    <w:p>
      <w:r>
        <w:rPr>
          <w:b/>
        </w:rPr>
        <w:t>E. 1.3.4</w:t>
      </w:r>
    </w:p>
    <w:p>
      <w:r>
        <w:t>Restent enfin les infractions dans la faillite (art. 163 ss CP), qui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p. 58 ; arrêt du Tribunal fédéral 6B_1279/2018 du 26 mars 2019 consid. 1.2.1). Cela étant, un créancier ayant obtenu la créance par voie de cession n'est lésé que pour les faits commis postérieurement à la cession (arrêts du Tribunal fédéral 6B_1208/2019 du 29 avril 2020 consid. 2.3.1 ; 6B_1238/2018 du 16 janvier 2019 consid. 1.2.2 ; 6B_507/2018 du 24 septembre 2018 consid. 2.3). Il ne doit pas en aller autrement lorsque celui qui se prétend lésé n'est pas un créancier cessionnaire, mais un créancier originaire : dans un cas comme dans l'autre, les faits dénoncés doivent être postérieurs à l'acquisition de sa qualité de créancier. En l'occurrence, le recourant, qui ne se plaint que des art. 163 et 164 CP, n'explique pas quels actes il reproche aux mis en cause dans ce cadre. Il évoque tout au plus des "soustractions d'actifs" et une "mauvaise gestion des actifs sociaux" (ch. 24 p. 16), qu'on comprend être liées au bateau et à la moto. Pour le bateau, on observe que l'acte de "soustraction" dénoncé est survenu le</w:t>
      </w:r>
    </w:p>
    <w:p>
      <w:r>
        <w:rPr>
          <w:b/>
        </w:rPr>
        <w:t>E. 1.4</w:t>
      </w:r>
    </w:p>
    <w:p>
      <w:r>
        <w:t>Le recourant doit donc se voir reconnaître la qualité pour recourir en lien avec l'escroquerie (art. 146 CP) et les infractions dans la faillite (art. 163 et 164 CP) dénoncées. Pour le reste, son recours sera déclaré irrecevable.</w:t>
      </w:r>
    </w:p>
    <w:p>
      <w:r>
        <w:t>- 9/15 - P/9343/2020 2. Dans un grief d'ordre formel, le recourant reproche au Ministère public d'avoir refusé de lui communiquer l'ordonnance pénale du 30 mai 2018 et d'avoir ainsi violé son droit d'être entendu. 2.1. 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p. 125 ; 135 II 286 consid. 5.1 p. 293 ; arrêt du Tribunal fédéral 1B_273/2019 du 3 décembre 2019 consid. 2.1). Le prévenu doit pouvoir consulter le dossier pour connaître préalablement les éléments dont dispose l'autorité et jouir ainsi d'une réelle possibilité de faire valoir ses arguments. Pour que cette consultation soit utile, le dossier doit être complet (ATF 129 I 85 consid. 4.1 p. 88 s. ; arrêt du Tribunal fédéral 6B_1188/2020 du 7 juillet 2021 consid. 1.1.1).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2.2. En l'occurrence, le Ministère public a refusé de fournir au recourant une copie de l'ordonnance pénale du 30 mai 2018 car ce dernier n'était pas partie à la procédure ouverture à l'époque et qu'il n'était pas lésé par les infractions aux art. 163 ss CP (voir le courrier du 19 avril 2021 et les observations au recours). Il a toutefois été vu ci- dessus que cette dernière affirmation ne pouvait être suivie. En outre, l'ordonnance querellée se fonde expressément sur l'ordonnance pénale du 30 mai 2018 pour refuser d'entrer en matière sur les faits dénoncés par le recourant, en référence au principe ne bis in idem (cf. art. 11 al. 1 CP), qui constitue un empêchement de procéder. Dans cette mesure, le Ministère public se devait de laisser le recourant consulter cette ordonnance pénale ou, s'il estimait que les conditions d'une restriction de son droit être entendu était réunies, à tout du moins lui donner connaissance de son contenu essentiel (cf. art. 108 al. 4 CPP). À défaut, le recourant n'a pas été en mesure de faire valoir dans la présente instance ses arguments sur le principe ne bis in idem, notamment quant à l'identité de la personne visée et des faits retenus (cf. ATF 144 IV 362 consid. 1.3.2 p. 366 ; arrêt du Tribunal fédéral 6B_303/2019 du</w:t>
      </w:r>
    </w:p>
    <w:p>
      <w:r>
        <w:rPr>
          <w:b/>
        </w:rPr>
        <w:t>E. 4</w:t>
      </w:r>
    </w:p>
    <w:p>
      <w:r>
        <w:t>septembre 2015, au moment de la vente du voilier à F______ (cf. également la plainte pénale). Or, le recourant n'est lui-même devenu créancier de la société que le lendemain, lorsqu'il a payé à l'Office des poursuites la somme de CHF 40'000.-, dans le cadre d'un (premier) prêt (sur quatre au total). Il n'apparaît dès lors pas lésé par la vente intervenue la veille, à un moment où il n'était pas encore créancier de la société faillie. Quant à la moto, le recourant relève, dans son grief lié à l'art. 158 CP (ch. 22 p. 15), qu'elle aurait été acquise avec les derniers de la société, mais sortie par le compte courant actionnaire-débiteur. Dans la partie "en fait" de ses écritures, il soutient également que le mis au cause n'aurait pas parlé à l'Office des faillites des bateau et moto détenus par la société et, plus particulièrement, de leurs sorties des comptes de celle-ci (let. d p. 9). On comprend ainsi que le recourant reproche au mis en cause d'avoir tu l'existence de certaines valeurs patrimoniales à l'Office des faillites et ce, à une époque où il était bien créancier de la société. Au stade de la recevabilité, on ne peut exclure qu'un tel comportement puisse effectivement remplir les éléments constitutifs des infractions dont le recourant se prévaut (art. 163 et 164 CP). Il s'ensuit que, contrairement à ce qu'affirme le Ministère public dans ses observations, la qualité de lésé doit lui être reconnue en lien avec ces infractions.</w:t>
      </w:r>
    </w:p>
    <w:p>
      <w:r>
        <w:rPr>
          <w:b/>
        </w:rPr>
        <w:t>E. 9</w:t>
      </w:r>
    </w:p>
    <w:p>
      <w:r>
        <w:t>avril 2019 consid. 2.1.1). Le droit d'être entendu du recourant a donc été violé.</w:t>
      </w:r>
    </w:p>
    <w:p>
      <w:r>
        <w:t>- 10/15 - P/9343/2020 Compte tenu de la gravité de cette violation, qui perdure encore à ce jour, il ne peut être retenu qu'elle a été réparée devant la Chambre de céans. Le grief sera admis. La décision querellée sera annulée sur ce point et la cause renvoyée au Ministère public pour qu'il respecte le droit d'être entendu du recourant, puis rende une nouvelle décision s'agissant des infractions aux art. 163 et 164 CP. 3. Le recourant reproche au Ministère public une violation du principe in dubio pro duriore. Dès lors que la cause a été renvoyée à cette autorité s'agissant des délits dans la faillite, seule subsiste l'infraction d'escroquerie. 3.1.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3.2.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w:t>
      </w:r>
    </w:p>
    <w:p>
      <w:r>
        <w:t>- 11/15 - P/9343/2020 fonction des circonstances, qu'elle renoncera à le faire en raison d'un rapport de confiance particulier (ATF 147 IV 73 consid. 3.2 p. 78 s. ;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 L'astuce n'est exclue que si la dupe n'a pas procédé aux vérifications élémentaires que l'on pouvait attendre d'elle au vu des circonstances, notamment compte tenu de son degré d'expérience dans le domaine concerné (ATF 135 IV 76 consid. 5.2 p. 80 s. ;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 3.3. En l'espèce, le recourant, dans sa plainte, reprochait aux mis en cause de lui avoir fait croire que la vente de C______ SA allait prospérer, puis d'avoir maintenu des pourparlers afin de l'amener à rembourser certaines dettes de la société. Il leur reprochait également d'avoir tu que la société avait préalablement été dépouillée d'une partie de ses actifs, soit en l'occurrence le bateau, cédé à F______. À l'appui de son recours, il reproche désormais à E______ d'avoir fictivement augmenté la valeur comptable du bateau en question pour lui vendre la société à un prix surévalué et, dans ce cadre, de lui avoir présenté une comptabilité falsifiée. Cette nouvelle version des faits reprochés s'appuie exclusivement sur les déclarations de F______ à la police, laquelle n'a toutefois fait que relayer des propos que lui aurait tenus son frère, étant précisé que leurs relations sont pour le moins conflictuelles. Contrairement à ce qu'affirme le recourant, cette nouvelle version ne s'inscrit pas "dans la droite ligne" de la tromperie décrite dans sa plainte pénale, mais présente</w:t>
      </w:r>
    </w:p>
    <w:p>
      <w:r>
        <w:t>- 12/15 - P/9343/2020 avec elle des différences importantes : elle suppose en effet que le bateau était encore propriété de la société, alors que dans la version initiale, cette même société en avait été dépouillée ; par ailleurs, le recourant introduit ici un nouvel élément de fait, soit l'emploi et la présentation d'une comptabilité falsifiée, sans qu'on ne s'explique pourquoi il n'en a pas fait état auparavant. Entendu par la police, le mis en cause a pour sa part déclaré que le recourant était parfaitement au courant de l'existence du bateau, et qu'il avait été convenu de sortir ce bateau de la société, car cet objet n'avait rien à voir avec la chocolaterie. De deux choses l'une : soit le bateau avait été sorti des comptes, ou devait l'être selon les pourparlers, et il n'avait dès lors pas à être pris en compte dans le prix de vente des actions ; soit il devait être maintenu parmi les actifs de la société, et la recourante pouvait et devait s'assurer de sa valeur réelle, cas échéant par le biais d'une expertise. Pour le surplus, il n'est pas contesté que la convention de cession d'actions entre le recourant et les mis en cause n'a finalement jamais vu le jour, les négociations n'ayant pas abouti. Dans ce cadre, le recourant a néanmoins conclu des contrats de prêts avec C______ SA et procédé dans ce cadre à quatre versements à l'Office des poursuites, destinés à éteindre certaines poursuites en cours contre la société. Selon ses allégations, les mis en cause lui auraient fallacieusement fait croire que la vente allait aboutir, pour le pousser à prêter de l'argent à la société, que cette dernière – soit pour elle ses organes – n'avait en réalité jamais l'intention de lui rembourser. Même à admettre l'existence d'une tromperie dans ce cadre, rien ne permet toutefois d'affirmer que celle-ci puisse être qualifiée d'astucieuse. Le recourant ne prétend en effet pas que les mis en cause auraient recouru à un édifice de mensonges, à des manœuvres frauduleuses ou à des mises en scènes particulières. En soutenant qu'il ne pouvait anticiper l'abandon abrupt des négociations, le recourant ne saurait être suivi : il s'agit là d'un aléa inhérent à la vie des affaires, contre lequel tout acteur économique peut se prémunir, par exemple en demandant certaines sûretés. Au demeurant, le recourant était manifestement conscient que la société dont il prévoyait de racheter les actions rencontrait des difficultés financières. Il affirme en effet lui- même dans sa plainte que C______ SA était déjà en proie à un nombre important de poursuites, dont certaines à un stade avancé (ch. 20 p. 4). Ce nonobstant, il a consenti à lui prêter la somme totale de CHF 134'528.40, sans autre garantie que de simples reconnaissances de dette (dont seules deux ont été produites), afin d'éteindre des poursuites qu'il qualifie lui-même d'urgentes. Dans ces conditions, le recourant devait se douter que la société ou ses organes pourraient ne pas être en mesure de le rembourser par la suite. Il a toutefois omis de prendre de plus amples mesures de prudence pour se prémunir contre un tel défaut de paiement, par exemple en exigeant un gage ou un cautionnement. Il ne peut en outre se prévaloir d'un rapport de confiance particulier avec les mis en cause, que ces derniers auraient exploité pour parvenir à leurs fins ; il ne le prétend du reste pas. Compte tenu de l'ensemble de ces circonstances, le caractère astucieux d'une éventuelle tromperie commise dans ce cadre apparaît clairement exclu.</w:t>
      </w:r>
    </w:p>
    <w:p>
      <w:r>
        <w:t>- 13/15 - P/9343/2020 Dès lors, les probabilités d'une condamnation des mis en cause pour escroquerie (art. 146 CP) n'étaient pas supérieures ou au moins aussi vraisemblables que celles d'un acquittement. Le Ministère public pouvait ainsi à juste titre refuser d'entrer en matière sur les faits dénoncés par le recourant. Le grief sera rejeté. 4. Le recours doit être partiellement admis s'agissant du grief de violation du droit d'être entendu en lien avec les infractions aux art. 163 s. CP (cf. consid. 2. supra). Partant, la décision querellée sera annulée sur ce point et la cause renvoyée au Ministère public. Pour le surplus, la décision querellée est bien fondée et peut être confirmée. 5. Le recourant, qui succombe pour la majorité de ses griefs – étant précisé que la partie dont le recours a été déclaré irrecevable est considérée avoir succombé (art. 428 al. 1 2ème phrase CPP) –, supportera les ¾ des frais envers l'État, fixés en totalité à CHF 1'200.- (art. 428 al. 1 CPP et 13 al. 1 du Règlement fixant le tarif des frais en matière pénale, RTFMP ; E 4 10.03). 6. Le recourant, partie plaignante, obtient partiellement gain de cause au sens de l'art. 428 al. 1 CPP. Représenté par un avocat, il n'a toutefois pas chiffré ni justifié de prétentions en indemnité, au sens de l'art. 433 al. 2 CPP, applicable en instance de recours (art. 436 al. 1 CPP), de sorte que la Chambre de céans n'entrera pas en matière sur ce point (art. 433 al. 2, 2ème phrase, CPP; arrêt du Tribunal fédéral 6B_1345/2016 du 30 novembre 2017 consid. 7). * * * * *</w:t>
      </w:r>
    </w:p>
    <w:p>
      <w:r>
        <w:t>- 14/15 - P/9343/2020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