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ACPR/508/2018 vom 13. August 2018</w:t>
      </w:r>
    </w:p>
    <w:p>
      <w:r>
        <w:t>GE Cour de justice, 2018-08-13, FR</w:t>
      </w:r>
    </w:p>
    <w:p>
      <w:r>
        <w:rPr>
          <w:b/>
        </w:rPr>
        <w:t xml:space="preserve">Quelle: </w:t>
      </w:r>
      <w:r>
        <w:t>https://mcp.opencaselaw.ch/entscheid/ge_gerichte_ACPR_508_2018</w:t>
      </w:r>
    </w:p>
    <w:p>
      <w:r>
        <w:t>FR: GE_GERICHTE ACPR/508/2018 du 13 août 2018</w:t>
      </w:r>
    </w:p>
    <w:p>
      <w:r>
        <w:t>IT: GE_GERICHTE ACPR/508/2018 del 13 agosto 2018</w:t>
      </w:r>
    </w:p>
    <w:p>
      <w:pPr>
        <w:pStyle w:val="Heading2"/>
      </w:pPr>
      <w:r>
        <w:t>Erwägungen</w:t>
      </w:r>
    </w:p>
    <w:p>
      <w:r>
        <w:rPr>
          <w:b/>
        </w:rPr>
        <w:t>E. 29</w:t>
      </w:r>
    </w:p>
    <w:p>
      <w:r>
        <w:t>juin 2018, il n'y a pas lieu d'y revenir. Ces soupçons ne se sont nullement amoindris depuis lors, avec la mise en prévention complémentaire du 17 juillet 2018, de sorte que ses arguties sémantiques au sujet de la "nouveauté" de ces charges ne lui sont d'aucun secours et confinent à la témérité; - il en va de même en tant qu'il persiste à contester l'existence d'un risque de réitération, déjà retenu à maintes reprises par le TMC dans ses précédentes ordonnances ainsi que par la Chambre de céans dans son arrêt du 29 juin 2018; - ce constat rend inutile l'examen du risque de fuite, nouvellement retenu; - il n'y a pas davantage lieu d'examiner s'il existe ici un risque de collusion, le TMC ne l'ayant nullement retenu dans son ordonnance litigieuse; - le recourant ne propose aucune mesure de substitution apte à pallier le risque de réitération, de sorte qu'il n'y a pas lieu de s'attarder sur ce point – non contesté – de la décision entreprise; - finalement, le recourant reproche au Ministère public une violation du principe de célérité, prévu à l'art. 5 al. 1 CPP, lequel impose aux autorités pénales d'engager les procédures pénales sans délai et de les mener à terme sans retard injustifié, l'art. 29 al. 1 Cst. disposant pour sa part que toute personne a droit, dans une procédure judiciaire ou administrative, à ce que sa cause soit traitée équitablement et jugée dans un délai raisonnable; - selon la jurisprudence, ce grief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124 I 139 consid. 2c p. 142). On ne saurait ainsi reprocher à l'autorité quelques temps morts, qui sont inévitables dans une procédure.</w:t>
      </w:r>
    </w:p>
    <w:p>
      <w:r>
        <w:t>- 9/11 - P/7030/2017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 Le cas échéant,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6B_1066/2013 du 27 février 2014 consid. 1.1.2); - en l'espèce, le recourant reproche au Ministère public d'avoir tardé à lui notifier les ordonnances de séquestre du 31 mai 2018 et à statuer sur sa demande d'assistance judiciaire; - le recourant a interjeté recours contre lesdites ordonnances du 31 mai 2018 ainsi que contre le refus du Ministère public de le mettre au bénéfice d'une défense d'office, lesquels ont été rejetés par la Chambre de céans par arrêts du 23 août 2018 (ACPR/462/2018 et ACPR/464/2018); - il a également recouru contre d'autres ordonnances de perquisition et de séquestres rendues le 22 mai 2018 par le Ministère public (cf. ACPR/463/2018 du 23 août 2018 et ACPR/469/2018 du 24 août 2018); - parallèlement, le Ministère public a continué de mener son instruction sans relâche et à tenir des audiences, les 17 et 19 juillet ainsi que les 22 et 23 août 2018, étant précisé qu'une nouvelle audience a d'ores et déjà été convoquée les 19 et 20 septembre prochain, de sorte qu'on ne saurait lui reprocher de faire preuve de lenteur dans ce dossier; - le recours s'avère ainsi infondé et sera rejeté; - le recourant supportera les frais envers l'État, qui comprendront un émolument de CHF 1'500.- (art. 428 al. 1 CPP et 13 al. 1 du Règlement fixant le tarif des frais en matière pénale, RTFMP; E 4 10.03). * * * * *</w:t>
      </w:r>
    </w:p>
    <w:p>
      <w:r>
        <w:t>- 10/11 - P/7030/2017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