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ACPR/507/2023 vom 22. Mai 2023</w:t>
      </w:r>
    </w:p>
    <w:p>
      <w:r>
        <w:t>GE Cour de justice, 2023-05-22, FR</w:t>
      </w:r>
    </w:p>
    <w:p>
      <w:r>
        <w:rPr>
          <w:b/>
        </w:rPr>
        <w:t xml:space="preserve">Quelle: </w:t>
      </w:r>
      <w:r>
        <w:t>https://mcp.opencaselaw.ch/entscheid/ge_gerichte_ACPR_507_2023</w:t>
      </w:r>
    </w:p>
    <w:p>
      <w:r>
        <w:t>FR: GE_GERICHTE ACPR/507/2023 du 22 mai 2023</w:t>
      </w:r>
    </w:p>
    <w:p>
      <w:r>
        <w:t>IT: GE_GERICHTE ACPR/507/2023 del 22 maggio 2023</w:t>
      </w:r>
    </w:p>
    <w:p>
      <w:pPr>
        <w:pStyle w:val="Heading2"/>
      </w:pPr>
      <w:r>
        <w:t>Erwägungen</w:t>
      </w:r>
    </w:p>
    <w:p>
      <w:r>
        <w:rPr>
          <w:b/>
        </w:rPr>
        <w:t>E. 1.1</w:t>
      </w:r>
    </w:p>
    <w:p>
      <w:r>
        <w:t>À teneur de l’art. 396 al. 1 CPP, le délai de recours est de dix jours.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(arrêt du Tribunal fédéral 6B_397/2012 du 20 septembre 2012 et les arrêts cités; cf. aussi ACPR/424/2022 du 15 juin 2022).</w:t>
      </w:r>
    </w:p>
    <w:p>
      <w:r>
        <w:rPr>
          <w:b/>
        </w:rPr>
        <w:t>E. 1.2</w:t>
      </w:r>
    </w:p>
    <w:p>
      <w:r>
        <w:t>En l’espèce, si le sceau postal indique que le recours a été déposé le 13 juin 2023, soit après l’échéance du délai de recours – reportée au lundi 12 juin 2023 (art. 90 al. 2 CPP) –, l'attestation signée d'un témoin figurant au dos de l'enveloppe confirme que le recours a été déposé dans une boîte aux lettres la veille, à 23h50, soit dans le délai prévu à l’art. 396 al. 1 CPP. La recevabilité du recours sous cet angle sera ainsi admise, sans qu’il n’apparaisse nécessaire d’investiguer davantage.</w:t>
      </w:r>
    </w:p>
    <w:p>
      <w:r>
        <w:rPr>
          <w:b/>
        </w:rPr>
        <w:t>E. 1.3</w:t>
      </w:r>
    </w:p>
    <w:p>
      <w:r>
        <w:t>Pour le surplus, le recours a été déposé selon la forme prescrite (art. 385 al. 1 CPP), concerne une ordonnance sujette à recours auprès de la Chambre de céans (art. 222 et 393 al. 1 let. c CPP) et émane du prévenu qui, partie à la procédure (art. 104 al. 1 let. a CPP), a qualité pour agir, ayant un intérêt juridiquement protégé à la modification ou à l'annulation de la décision querellée (art. 382 al. 1 CPP). Partant, il est recevable.</w:t>
      </w:r>
    </w:p>
    <w:p>
      <w:r>
        <w:rPr>
          <w:b/>
        </w:rPr>
        <w:t>E. 2</w:t>
      </w:r>
    </w:p>
    <w:p>
      <w:r>
        <w:t>Le recourant ne remet pas en cause les charges – suffisantes – qui lui ont été signifiées, y compris complémentairement le 1er juin dernier, hormis celles relatives à son fils. S'il conteste certes certains des cambriolages reprochés, il en admet également une grande partie. Il n'y a ainsi pas à s'attarder sur ce point, étant rappelé que le juge de la détention n'a pas à procéder à une pesée complète des éléments à</w:t>
      </w:r>
    </w:p>
    <w:p>
      <w:r>
        <w:t>- 9/13 - P/14066/2019 charge et à décharge ni à apprécier la crédibilité des personnes qui mettent en cause le prévenu (ATF 143 IV 330 consid. 2.1; 143 IV 316 consid. 3.1 et 3.2).</w:t>
      </w:r>
    </w:p>
    <w:p>
      <w:r>
        <w:rPr>
          <w:b/>
        </w:rPr>
        <w:t>E. 3</w:t>
      </w:r>
    </w:p>
    <w:p>
      <w:r>
        <w:t>Le recourant ne conteste pas davantage le risque de réitération mais estime qu'il pourrait être pallié par les mesures de substitution qu'il propose. À tort. Malgré plusieurs arrestations et remises en liberté sous mesures de substitution, depuis 2020, dont l'obligation de se soumettre à un traitement pour son addiction aux stupéfiants, à des tests d'abstinence réguliers et à une assistance de probation confiée au SPI, l'intéressé a persisté à commettre à de réitérées reprises de nouvelles infractions, de surcroît similaires (cambriolages). Il propose aujourd'hui les mêmes mesures de substitution, qui se sont révélées inefficaces jusqu'ici. Une hospitalisation à E______ ou dans une clinique spécialisée, même couplée à une interdiction de quitter ce lieu ou de sortie, n'est à l'évidence pas suffisante non plus, au vu de l'acuité du risque. Aucune autre mesure de substitution n'entre en ligne de compte.</w:t>
      </w:r>
    </w:p>
    <w:p>
      <w:r>
        <w:rPr>
          <w:b/>
        </w:rPr>
        <w:t>E. 4</w:t>
      </w:r>
    </w:p>
    <w:p>
      <w:r>
        <w:t>Le recourant reproche une violation du principe de la célérité.</w:t>
      </w:r>
    </w:p>
    <w:p>
      <w:r>
        <w:rPr>
          <w:b/>
        </w:rPr>
        <w:t>E. 4.1</w:t>
      </w:r>
    </w:p>
    <w:p>
      <w:r>
        <w:t>L'art. 29 al. 1 Cst. prévoit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w:t>
      </w:r>
    </w:p>
    <w:p>
      <w:r>
        <w:t>- 10/13 - P/14066/2019 du Tribunal fédéral 1B_150/2012 du 30 mars 2012 consid. 3.3; 1B_44/2012 consid. 4 et 5).</w:t>
      </w:r>
    </w:p>
    <w:p>
      <w:r>
        <w:rPr>
          <w:b/>
        </w:rPr>
        <w:t>E. 4.2</w:t>
      </w:r>
    </w:p>
    <w:p>
      <w:r>
        <w:t>En l'occurrence, aucun retard injustifié ni manquement ne saurait être reproché au Ministère public, l'instruction de la cause suivant son cours à un rythme raisonnable, compte tenu de la multiplicité des faits reprochés à l'intéressé. Le recourant semble se plaindre de ce qu'il a demandé, en avril déjà, l'audition d'un intervenant social et de ce que la police tardait à localiser AO_____, malgré les informations qu'il avait fournies, tout en concédant que le Ministère public avait fait diligence pour convoquer ces témoins en juin, soit dans le délai qu'il estimait lui- même raisonnable pour ce faire. Son grief est dès lors inconsistant. On relèvera qu'à l'issue de l'audience du 13 juin 2023, le Ministère public a immédiatement fait le nécessaire pour convoquer une nouvelle fois AO_____ ainsi que, à la demande du recourant lui-même, de faire procéder à l'extraction et à l'analyse des données de son téléphone portable. On ne décèle ainsi aucune violation du principe de la célérité.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la durée de la prolongation de la détention provisoire du prévenu à ce stade et à son échéance n'atteint pas encore la durée de la peine à laquelle le recourant pourrait concrètement s’exposer, s’il était reconnu coupable de toutes les préventions qui lui ont été notifiées (art. 212 al. 3 CPP). Quand bien même les audiences annoncées par le Ministère public au TMC ont pu être convoquées en juin, la durée de la prolongation de la détention provisoire n'apparaît pas disproportionnée, compte tenu des actes d'instruction restant encore à accomplir et du prochain renvoi de l'intéressé en jugement.</w:t>
      </w:r>
    </w:p>
    <w:p>
      <w:r>
        <w:rPr>
          <w:b/>
        </w:rPr>
        <w:t>E. 6</w:t>
      </w:r>
    </w:p>
    <w:p>
      <w:r>
        <w:t>Le recours s'avère ainsi infondé et doit être rejeté.</w:t>
      </w:r>
    </w:p>
    <w:p>
      <w:r>
        <w:t>- 11/13 - P/14066/2019</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de ce premier recours ne procède pas d'un abus.</w:t>
      </w:r>
    </w:p>
    <w:p>
      <w:r>
        <w:rPr>
          <w:b/>
        </w:rPr>
        <w:t>E. 8.3</w:t>
      </w:r>
    </w:p>
    <w:p>
      <w:r>
        <w:t>L'indemnité du défenseur d'office sera fixée à la fin de la procédure (art. 135 al. 2 CPP). * * * * *</w:t>
      </w:r>
    </w:p>
    <w:p>
      <w:r>
        <w:t>- 12/13 - P/14066/2019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