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ACPR/505/2023 vom 15. Mai 2023</w:t>
      </w:r>
    </w:p>
    <w:p>
      <w:r>
        <w:t>GE Cour de justice, 2023-05-15, FR</w:t>
      </w:r>
    </w:p>
    <w:p>
      <w:r>
        <w:rPr>
          <w:b/>
        </w:rPr>
        <w:t xml:space="preserve">Quelle: </w:t>
      </w:r>
      <w:r>
        <w:t>https://mcp.opencaselaw.ch/entscheid/ge_gerichte_ACPR_505_2023</w:t>
      </w:r>
    </w:p>
    <w:p>
      <w:r>
        <w:t>FR: GE_GERICHTE ACPR/505/2023 du 15 mai 2023</w:t>
      </w:r>
    </w:p>
    <w:p>
      <w:r>
        <w:t>IT: GE_GERICHTE ACPR/505/2023 del 15 maggio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reproche au Ministère public une violation de l’art. 132 al. 3 CPP.</w:t>
      </w:r>
    </w:p>
    <w:p>
      <w:r>
        <w:rPr>
          <w:b/>
        </w:rPr>
        <w:t>E. 2.1</w:t>
      </w:r>
    </w:p>
    <w:p>
      <w:r>
        <w:t>À teneur de l'art. 132 al. 1 let. b CPP, la direction de la procédure ordonne une défense d'office si le prévenu ne dispose pas des moyens nécessaires et que l'assistance d'un défenseur est justifiée pour sauvegarder ses intérêts. L'art. 132 al. 3 CPP prévoit qu'en tout état de cause, une affaire n'est pas de peu de gravité lorsque le prévenu est passible d'une peine privative de liberté de plus de quatre mois, ou d'une peine pécuniaire de plus de 120 jours-amende.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étant cumulatives (arrêt du Tribunal fédéral 1B_229/2021 du 9 septembre 2021 consid. 4.1 ; arrêt du Tribunal fédéral 1B_194/2021 du 21 juin 2021 consid. 3.1).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(arrêts du Tribunal fédéral 1B_12/2020 du 24 janvier 2020 consid. 3.1 ; 1B_374/2018 du 4 septembre 2018 consid. 2.1). La désignation d'un</w:t>
      </w:r>
    </w:p>
    <w:p>
      <w:r>
        <w:t>- 4/6 - P/9435/2023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 arrêt du Tribunal fédéral 1B_360/2020 du 4 septembre 2020 consid. 2.1).</w:t>
      </w:r>
    </w:p>
    <w:p>
      <w:r>
        <w:rPr>
          <w:b/>
        </w:rPr>
        <w:t>E. 2.2</w:t>
      </w:r>
    </w:p>
    <w:p>
      <w:r>
        <w:t>Pour évaluer si l'affaire présente des difficultés que le prévenu ne pourrait pas surmonter sans l'aide d'un avocat, il y a lieu d'apprécier l'ensemble des circonstances concrètes. En particulier, il convient de s'attacher à la peine concrètement encourue et non à la seule peine menace prévue par la loi (ATF 143 I 164 consid. 2.4.3 et 3; L. MOREILLON / A. PAREIN-REYMOND, Petit Commentaire du CPP, 2e éd., 2016, n. 30 ad art. 132).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Plus est importante l’atteinte aux intérêts personnels, moins sont élevées les exigences pour admettre une défense d’office, et inversement (ATF 143 I 164 consid. 2.1).</w:t>
      </w:r>
    </w:p>
    <w:p>
      <w:r>
        <w:rPr>
          <w:b/>
        </w:rPr>
        <w:t>E. 2.3</w:t>
      </w:r>
    </w:p>
    <w:p>
      <w:r>
        <w:t>En l'espèce, la question déterminante ne porte ni sur l’impécuniosité de la recourante, puisque le Ministère public ne l’a pas niée, ni sur le caractère de bagatelle de l’infraction poursuivie, puisque celle-ci est passible exclusivement de l’amende. Quelles que soient les raisons qui ont conduit à l’ouverture d’une procédure administrative, il doit être relevé que la recourante n’a rien nié des événements du 15 février 2023. Elle a été entendue par la police en français, sans le concours d’un interprète, et sa lettre manuscrite accompagnant les pièces justificatives de sa</w:t>
      </w:r>
    </w:p>
    <w:p>
      <w:r>
        <w:t>- 5/6 - P/9435/2023 situation personnelle ne laisse pas transparaître de difficulté avec cette langue. Son acte de recours à la Chambre administrative contient à trois reprises l’admission formelle de sa responsabilité dans la survenue des faits (p. 9 allégué n° 37 : « la recourante a adressé un courriel [au Service de la consommation et des affaires vétérinaires] pour leur [sic] confirmer l’évènement, admettant dès lors sa responsabilité » ; p. 11 allégué n° 47 : « elle ne contestait pas les faits étant reprochés » ; et p. 21 allégué n° 66 : elle « a pris elle-même l’initiative de contacter l’autorité […] afin de reconnaître ses torts »). La cause (pénale) ne devient pas complexe, ni même déjà difficile, simplement parce qu’une procédure administrative en retrait de la garde du chien est parallèlement en cours. À teneur de son acte de recours à la Chambre administrative, la recourante n’a pas demandé l’assistance judiciaire pour cette procédure-là. La place que tiennent les événements précités dans la décision prise par l’autorité administrative est relative, puisque ce sont bien, à la lire, les omissions et manquements successifs de la recourante, depuis 2020, à se plier aux injonctions et décisions formelles d’éducation de l’animal qui ont conduit au séquestre de celui-ci. L’attaque est l’événement qui a conduit l’autorité administrative à constater les dérobades reprochées et à relever que les résultats de l’évaluation de la recourante au test de maîtrise et de comportement du chien en mars 2023 s’avéraient « encore pires » que ceux de la précédente évaluation. En outre, la privation par voie d’autorité de la détention d’un animal de compagnie n’a pas été causée uniquement par les faits du 15 février 2023, mais par la succession d’événements rappelés dans la décision administrative et ne saurait être placée sur le même pied que la possible révocation d’une autorisation professionnelle en raison de la procédure pénale. Pour le surplus, la rétractation de la non-entrée en matière ne change rien à ce qui précède, en tant qu’elle semble se fonder sur les mêmes pièces du dossier administratif du chien que celles produites de son côté par la recourante, et que l’état de fait pertinent reste inchangé, à savoir les faits du 15 février 2023.</w:t>
      </w:r>
    </w:p>
    <w:p>
      <w:r>
        <w:rPr>
          <w:b/>
        </w:rPr>
        <w:t>E. 3</w:t>
      </w:r>
    </w:p>
    <w:p>
      <w:r>
        <w:t>De ce qui précède, il résulte que le recours doit être rejeté. Comme tel, il pouvait être traité d’emblée par la Chambre de céans, sans échange d’écritures ni débats (art. 390 al. 2 a contrario CPP).</w:t>
      </w:r>
    </w:p>
    <w:p>
      <w:r>
        <w:rPr>
          <w:b/>
        </w:rPr>
        <w:t>E. 4</w:t>
      </w:r>
    </w:p>
    <w:p>
      <w:r>
        <w:t>La procédure de recours contre le refus de l'octroi de l'assistance juridique ne donne pas lieu à la perception de frais (art. 20 RAJ), quand bien même les moyens soulevés en l’espèce ne sont pas exempts de témérité au sens de cette disposition. * * * * *</w:t>
      </w:r>
    </w:p>
    <w:p>
      <w:r>
        <w:t>- 6/6 - P/9435/2023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