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ACPR/505/2019 vom 26. März 2019</w:t>
      </w:r>
    </w:p>
    <w:p>
      <w:r>
        <w:t>GE Cour de justice, 2019-03-26, FR</w:t>
      </w:r>
    </w:p>
    <w:p>
      <w:r>
        <w:rPr>
          <w:b/>
        </w:rPr>
        <w:t xml:space="preserve">Quelle: </w:t>
      </w:r>
      <w:r>
        <w:t>https://mcp.opencaselaw.ch/entscheid/ge_gerichte_ACPR_505_2019</w:t>
      </w:r>
    </w:p>
    <w:p>
      <w:r>
        <w:t>FR: GE_GERICHTE ACPR/505/2019 du 26 mars 2019</w:t>
      </w:r>
    </w:p>
    <w:p>
      <w:r>
        <w:t>IT: GE_GERICHTE ACPR/505/2019 del 26 marzo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teneur de l'art. 355 al. 2 CPP, si l'opposant, sans excuse, fait défaut à une audition malgré une citation à comparaître, son opposition est réputée retirée.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(ATF 142 IV 158 consid. 3.1; 140 IV 82 consid. 2.3 et 2.5). Son désintérêt doit s'interpréter au regard des règles de la bonne foi (arrêt du Tribunal fédéral 6B______/2018 du ______ 2018 consid. 3.1). La doctrine mentionne, comme motifs d’excuse, la maladie, le service militaire ou l’absence à l’étranger (N. SCHMID, Schweizerische Strafprozessordnung : Praxiskommentar, 2e éd., Zurich 2013,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w:t>
      </w:r>
    </w:p>
    <w:p>
      <w:r>
        <w:t>- 4/6 - P/4559/2019 Strafprozessordnung / Schweizerische Jugendstrafprozessordnung, Basler Kommentar StPO/JStPO, Bâle 2011, n. 6 ad art. 205).</w:t>
      </w:r>
    </w:p>
    <w:p>
      <w:r>
        <w:rPr>
          <w:b/>
        </w:rPr>
        <w:t>E. 4</w:t>
      </w:r>
    </w:p>
    <w:p>
      <w:r>
        <w:t>En l'espèce, le recourant ne conteste pas avoir eu connaissance du mandat de comparution du Ministère public et des conséquences du défaut, celles-ci étant, par ailleurs, mentionnées clairement sur la convocation. Par courrier du 19 mars 2019, le recourant a annoncé au Ministère public ne pas vouloir se présenter à l'audience susmentionnée au motif qu'il n'avait pas trouvé d'avocat pour le représenter, puis il a fait défaut à l'audience du 21 mars 2019. La raison invoquée ne constitue pas un motif valable pour refuser de comparaître et n'est, au demeurant, que peu crédible, au vu du nombre important d'avocats à Genève et de la possibilité qui lui était laissée d'aborder la question d'une éventuelle nomination d'un défenseur d'office lors de l'audience. Dans son mémoire de recours, le recourant n'allègue pas d'autre motif à son absence qui n'est, partant, pas valablement excusée. Au vu de ces éléments, il pouvait être déduit que le recourant s'était désintéressé de la procédure et n'avait, en réalité, nulle intention de comparaître. Dans ces circonstances, le recours ne peut qu'être rejeté.</w:t>
      </w:r>
    </w:p>
    <w:p>
      <w:r>
        <w:rPr>
          <w:b/>
        </w:rPr>
        <w:t>E. 5</w:t>
      </w:r>
    </w:p>
    <w:p>
      <w:r>
        <w:t>Justifiée, l'ordonnance querellée sera donc confirmée.</w:t>
      </w:r>
    </w:p>
    <w:p>
      <w:r>
        <w:rPr>
          <w:b/>
        </w:rPr>
        <w:t>E. 6</w:t>
      </w:r>
    </w:p>
    <w:p>
      <w:r>
        <w:t>Le recourant, qui succombe, supportera les frais envers l'État, qui comprendront un émolument de CHF 800.- (art. 428 al. 1 CPP et 13 al. 1 du Règlement fixant le tarif des frais en matière pénale, RTFMP ; E 4 10.03). * * * * *</w:t>
      </w:r>
    </w:p>
    <w:p>
      <w:r>
        <w:t>- 5/6 - P/4559/2019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