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ACPR/503/2021 vom 11. Juli 2021</w:t>
      </w:r>
    </w:p>
    <w:p>
      <w:r>
        <w:t>GE Cour de justice, 2021-07-11, FR</w:t>
      </w:r>
    </w:p>
    <w:p>
      <w:r>
        <w:rPr>
          <w:b/>
        </w:rPr>
        <w:t xml:space="preserve">Quelle: </w:t>
      </w:r>
      <w:r>
        <w:t>https://mcp.opencaselaw.ch/entscheid/ge_gerichte_ACPR_503_2021</w:t>
      </w:r>
    </w:p>
    <w:p>
      <w:r>
        <w:t>FR: GE_GERICHTE ACPR/503/2021 du 11 juillet 2021</w:t>
      </w:r>
    </w:p>
    <w:p>
      <w:r>
        <w:t>IT: GE_GERICHTE ACPR/503/2021 del 11 luglio 2021</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Concernant la conclusion du recourant, demandant la constatation de la violation de l'art. 158 al. 2 CPP et du caractère inexploitable des déclarations qu'il avait faites lors de sa fouille, selon la jurisprudence, il n’appartient pas au juge de la détention de procéder à une pesée complète des éléments à charge et à décharge ni d’apprécier la crédibilité des personnes qui mettent en cause le prévenu. Il n’a pas non plus à décider de manière définitive sur le caractère exploitable d’une preuve (ATF 143 IV 330, consid. 2.1; Y. JEANNERET / A. KUHN / C. PERRIER DEPEURSINGE (éds), Commentaire romand : Code de procédure pénale suisse, 2ème éd., Bâle 2019, n°7 ad 221).</w:t>
      </w:r>
    </w:p>
    <w:p>
      <w:r>
        <w:t>- 7/11 - P/16150/20201</w:t>
      </w:r>
    </w:p>
    <w:p>
      <w:r>
        <w:rPr>
          <w:b/>
        </w:rPr>
        <w:t>E. 3</w:t>
      </w:r>
    </w:p>
    <w:p>
      <w:r>
        <w:t>Dans sa réplique, le recourant conclut à ce que Chambre de céans constate la violation du principe de la célérité. Ce faisant, il prend des conclusions nouvelles, qui sont irrecevables, sauf à accorder à l'intéressé une prolongation du délai de recours, ce que la loi ne permet pas (art. 396 al. 1 et 89 al. 1 CPP). Il est, en effet, communément admis en procédure que la motivation d'un recours doit être entièrement contenue dans l'acte de recours lui- même ; elle ne saurait dès lors être complétée ou corrigée ultérieurement (ATF 134 II 244 consid. 2.4.2 et 2.4.3 p. 247; arrêt du Tribunal fédéral 4A_659/2011 du</w:t>
      </w:r>
    </w:p>
    <w:p>
      <w:r>
        <w:rPr>
          <w:b/>
        </w:rPr>
        <w:t>E. 7</w:t>
      </w:r>
    </w:p>
    <w:p>
      <w:r>
        <w:t>décembre 2011 consid. 4.2). Lorsque la mesure ne consiste pas uniquement en l'accomplissement d'un acte ponctuel, sa durée doit être limitée dans le temps (ATF 141 IV 190 consid. 3.3 p. 193).</w:t>
      </w:r>
    </w:p>
    <w:p>
      <w:r>
        <w:rPr>
          <w:b/>
        </w:rPr>
        <w:t>E. 7.1</w:t>
      </w:r>
    </w:p>
    <w:p>
      <w:r>
        <w:t>Conformément au principe de la proportionnalité (art. 36 al. 3 Cst.), il convient d'examiner les possibilités de mettre en œuvre d'autres solutions moins dommageables que la détention (règle de la nécessité). Cette exigence est concrétisée par l'art. 237 al. 1 CPP, qui prévoit que le tribunal compétent ordonne une ou plusieurs mesures moins sévères en lieu et place de la détention si ces mesures permettent d'atteindre le même but que la détention, par exemple la saisie des documents d'identité et autres documents officiels (al. 2 let. b), l'obligation de se présenter régulièrement à un service administratif (let. d), d'avoir un travail régulier (let. e), de se soumettre à un traitement médical ou à des contrôles (let. f). La liste des mesures de substitution énoncée à l'art. 237 CPP n'est pas exhaustive et rien ne s'oppose à un placement – combiné le cas échéant à d'autres mesures – si cela permet d'atteindre le même but que la détention (arrêt du Tribunal fédéral 1B_654/2011 du</w:t>
      </w:r>
    </w:p>
    <w:p>
      <w:r>
        <w:rPr>
          <w:b/>
        </w:rPr>
        <w:t>E. 7.2</w:t>
      </w:r>
    </w:p>
    <w:p>
      <w:r>
        <w:t>En l'occurrence, l'interdiction de contact avec les personnes concernées par la procédure, à laquelle le recourant demande à être soumis, n'apparaît à l'évidence pas suffisante, dès lors qu'elle ne reposerait que sur sa seule volonté et serait invérifiable. Il en va de même des interdictions de faire usage de téléphone ou d'ordinateur et d'utiliser les réseaux sociaux; rien n'empêcherait le prévenu, sauf sa propre volonté, dont la Chambre de céans ne peut se satisfaire, d'utiliser les appareils de proches ou d'amis.</w:t>
      </w:r>
    </w:p>
    <w:p>
      <w:r>
        <w:t>Les autres obligations proposées ne sont pas en mesure de pallier le risque de collusion retenu.</w:t>
      </w:r>
    </w:p>
    <w:p>
      <w:r>
        <w:rPr>
          <w:b/>
        </w:rPr>
        <w:t>E. 8</w:t>
      </w:r>
    </w:p>
    <w:p>
      <w:r>
        <w:t>Contrairement à ce que soutient le recourant, l'intérêt public à ce que la procédure pénale suive son cours sans pression de sa part prime son intérêt à être remis en liberté. La détention prévue pour un mois est ainsi parfaitement proportionnée.</w:t>
      </w:r>
    </w:p>
    <w:p>
      <w:r>
        <w:rPr>
          <w:b/>
        </w:rPr>
        <w:t>E. 9</w:t>
      </w:r>
    </w:p>
    <w:p>
      <w:r>
        <w:t>Le recours s'avère ainsi infondé et doit être rejeté.</w:t>
      </w:r>
    </w:p>
    <w:p>
      <w:r>
        <w:rPr>
          <w:b/>
        </w:rPr>
        <w:t>E. 10</w:t>
      </w:r>
    </w:p>
    <w:p>
      <w:r>
        <w:t>Le recourant, qui succombe, supportera les frais envers l'État, qui comprendront un émolument de CHF 900.- (art. 428 al. 1 CPP et 13 al. 1 du Règlement fixant le tarif des frais en matière pénale, RTFMP ; E 4 10.03).</w:t>
      </w:r>
    </w:p>
    <w:p>
      <w:r>
        <w:rPr>
          <w:b/>
        </w:rPr>
        <w:t>E. 11.1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(arrêts du Tribunal fédéral 1B_516/2020 du</w:t>
      </w:r>
    </w:p>
    <w:p>
      <w:r>
        <w:t>- 9/11 - P/16150/20201 3 novembre 2020 consid. 5.1 ; 1B_300/2019 du 24 juin 2019 consid. 4 ; 1B_164/2017 du 15 août 2017 consid. 2 ; 1B_488/2016 du 24 janvier 2017 consid. 2 ; 6B_705/2015 du 22 septembre 2015 consid. 2 ; 1B_272/2012 du 31 mai 2012 consid. 6.2 ; 1B_705/2011 du 9 mai 2012 consid. 2.3.2). Ceci vaut également lorsque le Ministère public a, dans le cadre de la procédure principale, désigné un défenseur d'office au prévenu qui se trouve dans un cas de défense obligatoire (art. 132 al. 1 let. a en lien avec l'art. 130 CPP ; arrêts du Tribunal fédéral 1B_516/2020 précité consid. 5.1 ; 1B_705/2011 du 9 mai 2012 consid. 2.3.2 ; 1B_732/2011 du 19 janvier 2012 consid. 7.1 et 7.2). La désignation d'un conseil d'office pour la procédure pénale principale n'est pas un blanc-seing pour introduire des recours aux frais de l'État, notamment contre des décisions de détention provisoire (arrêt du Tribunal fédéral 1B_516/2020 précité consid. 5.1).</w:t>
      </w:r>
    </w:p>
    <w:p>
      <w:r>
        <w:rPr>
          <w:b/>
        </w:rPr>
        <w:t>E. 11.2</w:t>
      </w:r>
    </w:p>
    <w:p>
      <w:r>
        <w:t>Le recourant a bénéficié d'une défense obligatoire dans le cadre de la procédure principale et son mandataire a été désigné comme défenseur d'office par le Ministère public. Il convient de constater qu'il s'agit du premier recours déposé contre sa mise en détention, de sorte qu'il n'apparaît pas qu'il était d'emblée dénué de chance de succès. L'intéressé sera ainsi mis au bénéfice d'une défense d'office pour la procédure de recours, bien qu'il ne l'a pas formellement demandé.</w:t>
      </w:r>
    </w:p>
    <w:p>
      <w:r>
        <w:rPr>
          <w:b/>
        </w:rPr>
        <w:t>E. 12</w:t>
      </w:r>
    </w:p>
    <w:p>
      <w:r>
        <w:t>En vertu de l'art. 135 al. 2 CPP, l'indemnisation du défenseur d'office, lequel ne l'a pas chiffrée, sera fixée à la fin de la procédure. * * * * *</w:t>
      </w:r>
    </w:p>
    <w:p>
      <w:r>
        <w:t>- 10/11 - P/16150/20201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