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ACPR/502/2022 vom 5. Juli 2022</w:t>
      </w:r>
    </w:p>
    <w:p>
      <w:r>
        <w:t>GE Cour de justice, 2022-07-05, FR</w:t>
      </w:r>
    </w:p>
    <w:p>
      <w:r>
        <w:rPr>
          <w:b/>
        </w:rPr>
        <w:t xml:space="preserve">Quelle: </w:t>
      </w:r>
      <w:r>
        <w:t>https://mcp.opencaselaw.ch/entscheid/ge_gerichte_ACPR_502_2022</w:t>
      </w:r>
    </w:p>
    <w:p>
      <w:r>
        <w:t>FR: GE_GERICHTE ACPR/502/2022 du 5 juillet 2022</w:t>
      </w:r>
    </w:p>
    <w:p>
      <w:r>
        <w:t>IT: GE_GERICHTE ACPR/502/2022 del 5 luglio 2022</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de sorte qu'il n'y a pas lieu de s'y attarder.</w:t>
      </w:r>
    </w:p>
    <w:p>
      <w:r>
        <w:rPr>
          <w:b/>
        </w:rPr>
        <w:t>E. 3</w:t>
      </w:r>
    </w:p>
    <w:p>
      <w:r>
        <w:t>Il conteste les risques de collusion et réitération, lesquels pourraient, le cas échéant, être palliés par les mesures de substitution qu'il propose.</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w:t>
      </w:r>
    </w:p>
    <w:p>
      <w:r>
        <w:t>- 7/11 - P/16439/2021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Pour admettre un risque de récidive au sens de l'art. 221 al. 1 let. c CPP, les infractions redoutées, tout comme les antécédents, doivent être des crimes ou des délits graves, au premier chef les délits de violence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2.3.1; arrêt du Tribunal fédéral 1B_668/2021 du 4 janvier 2022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consid. 2.3.1). Une expertise psychiatrique se prononçant sur ce risque n'est cependant pas nécessaire dans tous les cas (ATF 143 IV 9 consid. 2.8).</w:t>
      </w:r>
    </w:p>
    <w:p>
      <w:r>
        <w:rPr>
          <w:b/>
        </w:rPr>
        <w:t>E. 3.3</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se soumettre à un traitement médical ou à des contrôles (al. 2 let. f) et l'interdiction d'entretenir des relations avec certaines personnes (al. 2 let. g). La liste des mesures de substitution énoncée à l'art. 237 CPP n'est pas exhaustive (arrêt du Tribunal fédéral 1B_654/2011 du 7 décembre 2011 consid. 4.2).</w:t>
      </w:r>
    </w:p>
    <w:p>
      <w:r>
        <w:t>- 8/11 - P/16439/2021</w:t>
      </w:r>
    </w:p>
    <w:p>
      <w:r>
        <w:rPr>
          <w:b/>
        </w:rPr>
        <w:t>E. 3.4</w:t>
      </w:r>
    </w:p>
    <w:p>
      <w:r>
        <w:t>En l'espèce, l'analyse du matériel informatique du prévenu étant toujours en cours, il convient d'éviter que ce dernier n'interfère dans la manifestation de la vérité en influençant ou en exerçant des pressions sur sa famille et notamment ses enfants, étant précisé qu'il a admis avoir également réalisé des photos de sa fille à son insu alors qu'elle se déshabillait ou était aux toilettes. Il n'est pas exclu que l'enquête révèle d'autres victimes ou fasse apparaître d'autres téléchargements ou échanges de matériel pédopornographique avec des tiers inconnus à ce jour. Il convient ainsi que le prévenu ne puisse prendre contact avec ces personnes. Le risque de collusion est donc réalisé. Contrairement à ce qui prévalait le 22 octobre 2021, le recourant est dorénavant également prévenu d'infractions aux art. 187 et 189 CP sur son fils D______, ce qui rend le risque de collusion avec lui et ses autres proches plus manifeste. Eu égard à la gravité des faits et à la nature du risque constaté, une interdiction de contact n'est pas suffisante et de surcroît serait difficile à contrôler, quand bien même le prévenu se constituerait un domicile séparé de celui de sa famille en Valais, telle mesure ne l'empêchant pas de contacter téléphoniquement ou par d'autres moyens de télécommunication ses proches, d'autres victimes potentielles ou des tiers impliqués. Il en va de même de l'interdiction de se rendre à Genève sauf pour son travail, pour les mêmes motifs. S'agissant du risque de réitération, il est très concret, eu égard au grave trouble mental dont souffre le prévenu, et élevé, à teneur de l'expertise psychiatrique et à sa précédente condamnation de 2013. Nonobstant cet antécédent spécifique, le prévenu n'a pas hésité à récidiver et même à perpétrer des actes d'ordre sexuel sur son fils aux fins également de créer du contenu pédopornographique destiné à être échangé sur internet contre d'autres fichiers de même nature. Les mesures de substitution proposées apparaissent, là également, insuffisantes. L'interdiction d'utiliser internet hormis pour des raisons professionnelles serait illusoire et incontrôlable, étant rappelé qu'il est reproché au prévenu d'avoir notamment téléchargé des fichiers pédopornographiques depuis son lieu de travail. Si un traitement psychiatrique et psychothérapeutique spécialisé en sexologie est effectivement préconisé par les experts dans leur rapport pour diminuer le risque de récidive, le recourant n'établit pas avoir fait des démarches concrètes pour sa mise en œuvre. Quand bien même, les experts n'ont pas encore été entendus et les parties ont un délai au 2 août prochain pour faire part de leurs observations sur le rapport</w:t>
      </w:r>
    </w:p>
    <w:p>
      <w:r>
        <w:t>- 9/11 - P/16439/2021 d'expertise. Partant, on ignore si la mesure préconisée sera finalement confirmée par les experts ou si d'autres mesures ou aménagements seront à prévoir, étant relevé que le prévenu n'a pas hésité à recommencer ses téléchargements à l'époque alors qu'il était sous thérapie.</w:t>
      </w:r>
    </w:p>
    <w:p>
      <w:r>
        <w:rPr>
          <w:b/>
        </w:rPr>
        <w:t>E. 4</w:t>
      </w:r>
    </w:p>
    <w:p>
      <w:r>
        <w:t>Au vu de la peine menace et concrètement encourue si le recourant devait être reconnu coupable des infractions qui lui sont reprochées, la durée de la détention provisoire subie et jusqu'à l'échéance fixée respecte le principe de la proportionnalité.</w:t>
      </w:r>
    </w:p>
    <w:p>
      <w:r>
        <w:rPr>
          <w:b/>
        </w:rPr>
        <w:t>E. 5</w:t>
      </w:r>
    </w:p>
    <w:p>
      <w:r>
        <w:t>Le recours s'avère ainsi infondé et doit être rejeté.</w:t>
      </w:r>
    </w:p>
    <w:p>
      <w:r>
        <w:rPr>
          <w:b/>
        </w:rPr>
        <w:t>E. 6</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7</w:t>
      </w:r>
    </w:p>
    <w:p>
      <w:r>
        <w:t>Le recourant plaide au bénéfice d'une défense d'office.</w:t>
      </w:r>
    </w:p>
    <w:p>
      <w:r>
        <w:rPr>
          <w:b/>
        </w:rPr>
        <w:t>E. 7.1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7.2</w:t>
      </w:r>
    </w:p>
    <w:p>
      <w:r>
        <w:t>En l'occurrence, quand bien même le recourant succombe, on peut admettre que l'exercice de ce premier recours ne procède pas d'un abus. L'indemnité du défenseur d'office sera fixée à la fin de la procédure (art. 135 al. 2 CPP). * * * * *</w:t>
      </w:r>
    </w:p>
    <w:p>
      <w:r>
        <w:t>- 10/11 - P/16439/2021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