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ACPR/501/2023 vom 2. Juni 2023</w:t>
      </w:r>
    </w:p>
    <w:p>
      <w:r>
        <w:t>GE Cour de justice, 2023-06-02, FR</w:t>
      </w:r>
    </w:p>
    <w:p>
      <w:r>
        <w:rPr>
          <w:b/>
        </w:rPr>
        <w:t xml:space="preserve">Quelle: </w:t>
      </w:r>
      <w:r>
        <w:t>https://mcp.opencaselaw.ch/entscheid/ge_gerichte_ACPR_501_2023</w:t>
      </w:r>
    </w:p>
    <w:p>
      <w:r>
        <w:t>FR: GE_GERICHTE ACPR/501/2023 du 2 juin 2023</w:t>
      </w:r>
    </w:p>
    <w:p>
      <w:r>
        <w:t>IT: GE_GERICHTE ACPR/501/2023 del 2 giugno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au sens de l'art. 393 CPP est la voie de droit ouverte contre les prononcés rendus en matière de libération conditionnelle par le TAPEM (art. 42 al. 1 let. b LaCP cum ATF 141 IV 187 consid. 1.1), dont le jugement constitue une "autre décision ultérieure" indépendante au sens de l'art. 363 al. 3 CPP (arrêts du Tribunal fédéral 6B_1136/2015 du 18 juillet 2016 consid. 4.3 et 6B_158/2013 du 25 avril 2013 consid. 2.1; Y. JEANNERET / A. KUHN / C. PERRIER DEPEURSINGE (éds), Commentaire romand : Code de procédure pénale suisse, 2ème éd., Bâle 2019, n. 30 ad art. 363).</w:t>
      </w:r>
    </w:p>
    <w:p>
      <w:r>
        <w:rPr>
          <w:b/>
        </w:rPr>
        <w:t>E. 1.2</w:t>
      </w:r>
    </w:p>
    <w:p>
      <w:r>
        <w:t>La procédure devant la Chambre de céans est régie par le CPP, applicable au titre de droit cantonal supplétif (art. 42 al. 2 LaCP).</w:t>
      </w:r>
    </w:p>
    <w:p>
      <w:r>
        <w:rPr>
          <w:b/>
        </w:rPr>
        <w:t>E. 1.3</w:t>
      </w:r>
    </w:p>
    <w:p>
      <w:r>
        <w:t>En l'espèce, le recours a été déposé selon la forme et dans le délai prescrits (art. 385 al. 1 et 396 al. 1 CPP) et émane du condamné, qui a un intérêt juridiquement protégé à l'annulation ou à la modification de la décision querellée en tant que la libération conditionnelle – qui lui est favorable – a été soumise à la condition d'un renvoi de Suisse et à une règle de conduite (art. 104 al. 1 let. a, 111 et 382 al. 1 CPP). Le recours sera donc déclaré recevable dans cette mesure (cf. ACPR/583/2019 du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mal fondés (art. 390 al. 2 et</w:t>
      </w:r>
    </w:p>
    <w:p>
      <w:r>
        <w:rPr>
          <w:b/>
        </w:rPr>
        <w:t>E. 5</w:t>
      </w:r>
    </w:p>
    <w:p>
      <w:r>
        <w:t>Le recourant, qui succombe, supportera les frais envers l'État, fixés en totalité à CHF 600.- (art. 428 al. 1 CPP et 13 al. 1 du Règlement fixant le tarif des frais en matière pénale, RTFMP ; E 4 10.03). * * * * *</w:t>
      </w:r>
    </w:p>
    <w:p>
      <w:r>
        <w:t>- 6/7 - PM/531/2023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