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ACPR/501/2021 vom 12. März 2021</w:t>
      </w:r>
    </w:p>
    <w:p>
      <w:r>
        <w:t>GE Cour de justice, 2021-03-12, FR</w:t>
      </w:r>
    </w:p>
    <w:p>
      <w:r>
        <w:rPr>
          <w:b/>
        </w:rPr>
        <w:t xml:space="preserve">Quelle: </w:t>
      </w:r>
      <w:r>
        <w:t>https://mcp.opencaselaw.ch/entscheid/ge_gerichte_ACPR_501_2021</w:t>
      </w:r>
    </w:p>
    <w:p>
      <w:r>
        <w:t>FR: GE_GERICHTE ACPR/501/2021 du 12 mars 2021</w:t>
      </w:r>
    </w:p>
    <w:p>
      <w:r>
        <w:t>IT: GE_GERICHTE ACPR/501/2021 del 12 marzo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310 al. 2, 322 al. 3 et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également recevables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Le recourant se plaint d'une constatation arbitraire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w:t>
      </w:r>
    </w:p>
    <w:p>
      <w:r>
        <w:t>- 5/8 - P/2707/2021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(arrêt du Tribunal fédéral 6B_544/2016 du 17 novembre 2016 consid. 3.1.; Y. JEANNERET / A. KUHN / C. PERRIER DEPEURSINGE (éds), Commentaire romand : Code de procédure pénale suisse, 2e éd., Bâle 2019, n. 9 ad art. 310).</w:t>
      </w:r>
    </w:p>
    <w:p>
      <w:r>
        <w:rPr>
          <w:b/>
        </w:rPr>
        <w:t>E. 4.2</w:t>
      </w:r>
    </w:p>
    <w:p>
      <w:r>
        <w:t>Le recourant soutient avoir été victime de dommages à la propriété et d'injure, voire de voies de fait, de la part de la mise en cause. Cependant, celle-ci conteste le crachat et les coups de pied dans la carrosserie et la vidéo versée à la procédure, pas plus que la confrontation des parties du 26 mai 2021, ne permettent pas de confirmer ou infirmer ces faits. Ainsi, il n'est pas établi que B______ a craché, ni même postillonné, sur le recourant. D'autre part, les griffures sur la peinture du véhicule ne peuvent être attribuées avec une vraisemblance suffisante à la mise en cause; le recourant ayant prétendu que cette dernière avait donné des coups de pied dans sa portière, force est d'admettre que l'on se serait attendu à un enfoncement de la carrosserie et non à des griffures superficielles. On ne voit pas quel autre acte d'enquête objectiverait la version du</w:t>
      </w:r>
    </w:p>
    <w:p>
      <w:r>
        <w:t>- 6/8 - P/2707/2021 recourant; une expertise – acte disproportionné – ne permettrait pas d'affirmer que la mise en cause est l'auteur des griffures, celles-ci pouvant avoir existé dès avant l'altercation.</w:t>
      </w:r>
    </w:p>
    <w:p>
      <w:r>
        <w:rPr>
          <w:b/>
        </w:rPr>
        <w:t>E. 5</w:t>
      </w:r>
    </w:p>
    <w:p>
      <w:r>
        <w:t>Le recours ne peut qu'être rejeté.</w:t>
      </w:r>
    </w:p>
    <w:p>
      <w:r>
        <w:rPr>
          <w:b/>
        </w:rPr>
        <w:t>E. 6</w:t>
      </w:r>
    </w:p>
    <w:p>
      <w:r>
        <w:t>Le recourant supportera donc les frais envers l'État, qui seront fixés en totalité à CHF 900.- (art. 428 al. 1 CPP et 13 al. 1 du Règlement fixant le tarif des frais en matière pénale, RTFMP; E 4 10.03) et prélevés sur les sûretés versées. * * * * *</w:t>
      </w:r>
    </w:p>
    <w:p>
      <w:r>
        <w:t>- 7/8 - P/2707/2021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