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ACPR/500/2024 vom 23. Juni 2024</w:t>
      </w:r>
    </w:p>
    <w:p>
      <w:r>
        <w:t>GE Cour de justice, 2024-06-23, FR</w:t>
      </w:r>
    </w:p>
    <w:p>
      <w:r>
        <w:rPr>
          <w:b/>
        </w:rPr>
        <w:t xml:space="preserve">Quelle: </w:t>
      </w:r>
      <w:r>
        <w:t>https://mcp.opencaselaw.ch/entscheid/ge_gerichte_ACPR_500_2024</w:t>
      </w:r>
    </w:p>
    <w:p>
      <w:r>
        <w:t>FR: GE_GERICHTE ACPR/500/2024 du 23 juin 2024</w:t>
      </w:r>
    </w:p>
    <w:p>
      <w:r>
        <w:t>IT: GE_GERICHTE ACPR/500/2024 del 23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 même s'il les minimise – ne conteste pas la suffisance des charges à son encontre. Il n'y a donc pas lieu d'y revenir et il peut être renvoyé, en tant que de besoin, à la motivation adoptée par le premier juge sur ce point (art. 82 al.4 CPP; ACPR/747/2020 du 22 octobre 2020 consid. 2 et les références).</w:t>
      </w:r>
    </w:p>
    <w:p>
      <w:r>
        <w:rPr>
          <w:b/>
        </w:rPr>
        <w:t>E. 3</w:t>
      </w:r>
    </w:p>
    <w:p>
      <w:r>
        <w:t>Il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w:t>
      </w:r>
    </w:p>
    <w:p>
      <w:r>
        <w:t>- 5/8 - P/14904/2024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3.3</w:t>
      </w:r>
    </w:p>
    <w:p>
      <w:r>
        <w:t>En l'espèce, le recourant ne peut être suivi lorsqu'il soutient que le risque de collusion n'existe pas concrètement. Il oublie qu'aucune confrontation n'a encore eu lieu, que ce soit avec ses co-prévenus, le plaignant, le témoin et les passagers non encore identifiés, étant souligné qu'il n'a même pas été en mesure de fournir l'identité de ses propres passagers qui seraient pourtant ses amis. Toutes ces personnes ont assisté aux faits et, à ce stade de l'enquête, il est à craindre que le recourant ne cherche à entrer en contact avec elles et ne compromette ainsi la recherche de la vérité. À cela s'ajoute que le Ministère public est dans l'attente des rapports d'analyses techniques, lesquels devraient permettre d'amener d'autres éléments sur le déroulement du rodéo routier et sur la vitesse des véhicules en cause. Enfin, si l'on ne peut exclure qu'avant son arrestation, le recourant ait contacté l'un des autres participants, on ne voit pas en quoi cette situation rendrait le risque de collusion inexistant, étant souligné qu'il est désormais prévenu. Les mesures de substitution proposées par le recourant pour pallier un tel risque, sous la forme de l'interdiction d'entrer en contact avec les personnes concernées par la procédure – dont certaines ne sont pas encore identifiées – paraissent particulièrement difficiles à contrôler et ne permettent pas, en l'état, de pallier le risque d'atteinte à la recherche de la vérité.</w:t>
      </w:r>
    </w:p>
    <w:p>
      <w:r>
        <w:t>- 6/8 - P/14904/2024</w:t>
      </w:r>
    </w:p>
    <w:p>
      <w:r>
        <w:rPr>
          <w:b/>
        </w:rPr>
        <w:t>E. 4</w:t>
      </w:r>
    </w:p>
    <w:p>
      <w:r>
        <w:t>Le risque de collusion étant réalisé, l'autorité de recours peut se dispenser d'examiner si le risque de réitération l'est également (arrêt du Tribunal fédéral 7B_188/2024 du 12 mars 2024 consid. 6.3.1) et d'éventuelles mesures de substitution s'y rapportant.</w:t>
      </w:r>
    </w:p>
    <w:p>
      <w:r>
        <w:rPr>
          <w:b/>
        </w:rPr>
        <w:t>E. 5</w:t>
      </w:r>
    </w:p>
    <w:p>
      <w:r>
        <w:t>La durée de la détention à ce stade ne paraît pas excéder la peine concrètement encourue par le recourant (art. 212 al. 3 CPP), s’il était reconnu coupable des infractions reprochées par le Ministère public. Ni lui ni son défenseur ne prétendent le contraire.</w:t>
      </w:r>
    </w:p>
    <w:p>
      <w:r>
        <w:rPr>
          <w:b/>
        </w:rPr>
        <w:t>E. 6</w:t>
      </w:r>
    </w:p>
    <w:p>
      <w:r>
        <w:t>Le recours s'avère ainsi infondé et doit être rejeté.</w:t>
      </w:r>
    </w:p>
    <w:p>
      <w:r>
        <w:rPr>
          <w:b/>
        </w:rPr>
        <w:t>E. 7</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- 7/8 - P/14904/2024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