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ACPR/500/2023 vom 17. April 2023</w:t>
      </w:r>
    </w:p>
    <w:p>
      <w:r>
        <w:t>GE Cour de justice, 2023-04-17, FR</w:t>
      </w:r>
    </w:p>
    <w:p>
      <w:r>
        <w:rPr>
          <w:b/>
        </w:rPr>
        <w:t xml:space="preserve">Quelle: </w:t>
      </w:r>
      <w:r>
        <w:t>https://mcp.opencaselaw.ch/entscheid/ge_gerichte_ACPR_500_2023</w:t>
      </w:r>
    </w:p>
    <w:p>
      <w:r>
        <w:t>FR: GE_GERICHTE ACPR/500/2023 du 17 avril 2023</w:t>
      </w:r>
    </w:p>
    <w:p>
      <w:r>
        <w:t>IT: GE_GERICHTE ACPR/500/2023 del 17 aprile 2023</w:t>
      </w:r>
    </w:p>
    <w:p>
      <w:pPr>
        <w:pStyle w:val="Heading2"/>
      </w:pPr>
      <w:r>
        <w:t>Erwägungen</w:t>
      </w:r>
    </w:p>
    <w:p>
      <w:r>
        <w:rPr>
          <w:b/>
        </w:rPr>
        <w:t>E. 1</w:t>
      </w:r>
    </w:p>
    <w:p>
      <w:r>
        <w:t>Le recours est recevable pour avoir été déposé selon la forme et dans le délai prescrits – la décision querellée ayant été communiquée par pli simple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L'art. 132 al. 1 let. b CPP soumet le droit à l'assistance d'un défenseur à deux conditions : le prévenu doit être indigent et la sauvegarde de ses intérêts doit justifier</w:t>
      </w:r>
    </w:p>
    <w:p>
      <w:r>
        <w:t>- 6/8 - P/22281/2022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2.3</w:t>
      </w:r>
    </w:p>
    <w:p>
      <w:r>
        <w:t>En l'espèce, la question de l'indigence du recourant n'a pas été examinée, mais peut toutefois rester ouverte vu ce qui suit. À suivre le recourant, le cumul des peines privatives de liberté prononcées dans les deux procédures désormais jointes, soit 90 jours et 60 jours, dépasserait le seuil de gravité de l'art. 132 al. 3 CPP. Or, la Chambre de céans a statué dans son précédent arrêt qu'il était faux d'additionner purement et simplement les peines encourues ensuite des oppositions, car cela était contraire aux règles régissant le concours de peines (cf. art. 49 al. 1 CP). Le même raisonnement prévaut ici. Quand bien même, l'examen des circonstances du cas d'espèce permet de retenir que la cause ne présente, pas plus qu'avant, de difficultés particulières, du point de vue de l'établissement des faits ou des questions juridiques soulevées, que le recourant ne serait pas en mesure de résoudre seul. Les faits et dispositions applicables – identiques dans les deux procédures jointes – sont clairement circonscrits et ne présentent aucune difficulté de compréhension ou d'application, même pour un</w:t>
      </w:r>
    </w:p>
    <w:p>
      <w:r>
        <w:t>- 7/8 - P/22281/2022 profane. S'agissant des faits ayant donné lieu à l'ordonnance pénale du 22 décembre 2022, le recourant a pu s'exprimer, avec l'aide d'un interprète, à la police et devant le Ministère public, reconnaissant partiellement les faits. Il a ainsi parfaitement compris ce qui lui était reproché. S'agissant des faits ayant donné lieu à l'ordonnance pénale du 11 avril 2023, un gendarme a fonctionné comme traducteur mais le prévenu a refusé de s'exprimer, étant rappelé qu'il lui était reproché en substance les mêmes faits que ceux ayant donné lieu à l'ordonnance pénale du 22 décembre 2022. En l'absence de cette condition cumulative, la défense d'office ne se justifie pas. Partant, c'est à juste titre que la défense d'office a été refusée par le Ministère public.</w:t>
      </w:r>
    </w:p>
    <w:p>
      <w:r>
        <w:rPr>
          <w:b/>
        </w:rPr>
        <w:t>E. 3</w:t>
      </w:r>
    </w:p>
    <w:p>
      <w:r>
        <w:t>Justifiée, l'ordonnance querellée sera donc confirmée.</w:t>
      </w:r>
    </w:p>
    <w:p>
      <w:r>
        <w:rPr>
          <w:b/>
        </w:rPr>
        <w:t>E. 4</w:t>
      </w:r>
    </w:p>
    <w:p>
      <w:r>
        <w:t>La procédure de recours contre le refus de l'octroi de l'assistance juridique ne donne pas lieu à la perception de frais (art. 20 RAJ). * * * * *</w:t>
      </w:r>
    </w:p>
    <w:p>
      <w:r>
        <w:t>- 8/8 - P/22281/2022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