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ACPR/4/2023 vom 12. Juli 2022</w:t>
      </w:r>
    </w:p>
    <w:p>
      <w:r>
        <w:t>GE Cour de justice, 2022-07-12, FR</w:t>
      </w:r>
    </w:p>
    <w:p>
      <w:r>
        <w:rPr>
          <w:b/>
        </w:rPr>
        <w:t xml:space="preserve">Quelle: </w:t>
      </w:r>
      <w:r>
        <w:t>https://mcp.opencaselaw.ch/entscheid/ge_gerichte_ACPR_4_2023</w:t>
      </w:r>
    </w:p>
    <w:p>
      <w:r>
        <w:t>FR: GE_GERICHTE ACPR/4/2023 du 12 juillet 2022</w:t>
      </w:r>
    </w:p>
    <w:p>
      <w:r>
        <w:t>IT: GE_GERICHTE ACPR/4/2023 del 12 luglio 2022</w:t>
      </w:r>
    </w:p>
    <w:p>
      <w:pPr>
        <w:pStyle w:val="Heading2"/>
      </w:pPr>
      <w:r>
        <w:t>Erwägungen</w:t>
      </w:r>
    </w:p>
    <w:p>
      <w:r>
        <w:rPr>
          <w:b/>
        </w:rPr>
        <w:t>E. 1.1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faits et moyens de preuve nouveaux étant recevables devant l'instance de recours (arrêt du Tribunal fédéral 1B_550/2020 du 19 novembre 2022 consid. 2.1), les pièces nouvelles produites par le recourant sont également admises.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classé les faits dénoncés.</w:t>
      </w:r>
    </w:p>
    <w:p>
      <w:r>
        <w:rPr>
          <w:b/>
        </w:rPr>
        <w:t>E. 3.1</w:t>
      </w:r>
    </w:p>
    <w:p>
      <w:r>
        <w:t>Aux termes de l'art. 319 al. 1 let. b CPP, le ministère public ordonne le classement de la procédure lorsque les éléments constitutifs d'une infraction ne sont pas réunis.</w:t>
      </w:r>
    </w:p>
    <w:p>
      <w:r>
        <w:t>- 7/12 - P/21356/2020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w:t>
      </w:r>
    </w:p>
    <w:p>
      <w:r>
        <w:rPr>
          <w:b/>
        </w:rPr>
        <w:t>E. 3.2</w:t>
      </w:r>
    </w:p>
    <w:p>
      <w:r>
        <w:t>L'art. 303 al. 1 CP réprime notamment du chef de dénonciation calomnieuse celui qui aura dénoncé à l'autorité, comme auteur d'un crime ou d'un délit, une personne qu'elle savait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w:t>
      </w:r>
    </w:p>
    <w:p>
      <w:r>
        <w:rPr>
          <w:b/>
        </w:rPr>
        <w:t>E. 3.3</w:t>
      </w:r>
    </w:p>
    <w:p>
      <w:r>
        <w:t>Se rend coupable de diffamation (art. 173 al. 1 CP), celui qui, en s'adressant à un tiers, aura accusé une personne ou jeté sur elle le soupçon de tenir une conduite contraire à l'honneur.</w:t>
      </w:r>
    </w:p>
    <w:p>
      <w:r>
        <w:rPr>
          <w:b/>
        </w:rPr>
        <w:t>E. 3.3.1</w:t>
      </w:r>
    </w:p>
    <w:p>
      <w:r>
        <w:t>Le prévenu peut, toutefois, être admis à prouver que les allégations à caractère diffamatoire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notamment lorsqu'elles ont trait à la vie privée ou à la vie de famille (art. 173 ch. 3 CP).</w:t>
      </w:r>
    </w:p>
    <w:p>
      <w:r>
        <w:rPr>
          <w:b/>
        </w:rPr>
        <w:t>E. 3.3.2</w:t>
      </w:r>
    </w:p>
    <w:p>
      <w:r>
        <w:t>La preuve de la vérité doit être considérée comme rapportée lorsque l'auteur de la diffamation établit que tous les éléments essentiels des allégations qu'il a articulées</w:t>
      </w:r>
    </w:p>
    <w:p>
      <w:r>
        <w:t>- 8/12 - P/21356/2020 ou propagées sont vrais (ATF 102 IV 176 = JdT 1978 IV 12 consid. 1b et les références citées).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w:t>
      </w:r>
    </w:p>
    <w:p>
      <w:r>
        <w:rPr>
          <w:b/>
        </w:rPr>
        <w:t>E. 3.3.3</w:t>
      </w:r>
    </w:p>
    <w:p>
      <w:r>
        <w:t>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L'exigence de la preuve de la bonne foi est accrue lorsque les allégations ont été formulées publiquement ou diffusées largement (A. MACALUSO / L. MOREILLON / N. QUELOZ [éds], Commentaire romand, Code pénal II, vol. II, Partie spéciale : art. 111-392 CP, Bâle 2017, n. 39 ad art. 173).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3ème éd., n. 75, 78, 80 et 82 ad art. 173). Celui qui présente ses accusations comme étant l'expression de la vérité doit prouver qu'il avait de bonnes raisons de le croire (ATF 116 IV 205 consid. 3b). Le juge examine d'office si les conditions posées à l'art. 173 ch. 2 CP sont réalisées (M. DUPUIS / L. MOREILLON / C. PIGUET / S. BERGER / M. MAZOU / V. RODIGARI (éds), Code pénal - Petit commentaire, 2e éd., Bâle 2017, n. 35 ad art. 173). Lorsque la preuve de la bonne foi est apportée, l'accusé doit être acquitté (ATF 119 IV 44 consid. 3).</w:t>
      </w:r>
    </w:p>
    <w:p>
      <w:r>
        <w:rPr>
          <w:b/>
        </w:rPr>
        <w:t>E. 3.3.4</w:t>
      </w:r>
    </w:p>
    <w:p>
      <w:r>
        <w:t>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82 IV 91 consid. 2 et 3).</w:t>
      </w:r>
    </w:p>
    <w:p>
      <w:r>
        <w:rPr>
          <w:b/>
        </w:rPr>
        <w:t>E. 3.4</w:t>
      </w:r>
    </w:p>
    <w:p>
      <w:r>
        <w:t>En l'espèce, concernant la plainte déposée par la prévenue, la décision de ne pas entrer en matière a été dictée par un empêchement de procéder. La plainte était tardive – déposée plus de trois mois après la réalisation des faits qui étaient susceptibles d'être constitutifs de voies de fait –, de sorte que la question de la culpabilité du recourant n'a pas été analysée ni a fortiori constatée. En outre, aucun élément au dossier ne permet de retenir que la prévenue l'aurait déposée alors qu'elle savait le prévenu innocent des faits dénoncés – l'avoir frappée</w:t>
      </w:r>
    </w:p>
    <w:p>
      <w:r>
        <w:t>- 9/12 - P/21356/2020 sur le nez avec le couvercle d'une boîte F______/bidon –. Elle n'a ainsi pas varié dans ses déclarations tant auprès de la police, que de la régie et que de la voisine. Partant, c'est à raison que le Ministère public a considéré que les éléments constitutifs de l'infraction de dénonciation calomnieuse ne sont pas réunis. D'ailleurs, le recourant n'explicite aucunement en quoi tel ne serait pas le cas, se contentant de déclarer que les accusations à son encontre sont mensongères.</w:t>
      </w:r>
    </w:p>
    <w:p>
      <w:r>
        <w:rPr>
          <w:b/>
        </w:rPr>
        <w:t>E. 3.5</w:t>
      </w:r>
    </w:p>
    <w:p>
      <w:r>
        <w:t>Enfin, en ce qui concerne l'éventuelle violation de secret privé par la prévenue. Elle a nié les faits reprochés, expliquant que, dans le cadre de son travail, elle n'était pas autorisée à consulter des données d'autres dossiers que ceux qui lui étaient attribués, sans quoi une alarme s'enclenchait auprès de son chef, et, qu'elle était tenue de se récuser s'agissant des personnes habitant dans son immeuble. Ainsi, il n'existe pas de prévention pénale suffisante, à ce stade, à l'encontre de la prévenue pour l'ouverture d'une instruction. Cependant, l'enquête interne ouverte par E______, à la suite de la dénonciation du recourant peut, selon son résultat, constituer un moyen de preuve nouveau pour demander la reprise de l'instruction (art. 323 cum art. 310 al. 2 CPP). Au vu de ce qui précède, les autres conclusions seront rejetées.</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- 11/12 - P/21356/2020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